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A4" w:rsidRDefault="00EC39A4" w:rsidP="00EC39A4">
      <w:pPr>
        <w:autoSpaceDE w:val="0"/>
        <w:autoSpaceDN w:val="0"/>
        <w:adjustRightInd w:val="0"/>
        <w:spacing w:after="0" w:line="240" w:lineRule="auto"/>
        <w:ind w:left="2160" w:firstLine="720"/>
        <w:jc w:val="both"/>
        <w:rPr>
          <w:rFonts w:ascii="Arial" w:hAnsi="Arial" w:cs="Arial"/>
          <w:b/>
          <w:bCs/>
          <w:lang/>
        </w:rPr>
      </w:pPr>
      <w:r>
        <w:rPr>
          <w:rFonts w:ascii="Arial" w:hAnsi="Arial" w:cs="Arial"/>
          <w:b/>
          <w:bCs/>
          <w:lang/>
        </w:rPr>
        <w:t>Annual Review - Summary Sheet</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This Summary Sheet captures the headlines on programme performance, agreed actions and learning over the course of the review period. It should be attached to all subsequent reviews to build a complete picture of actions and learning throughout the life of the programme.</w:t>
      </w: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108" w:type="dxa"/>
        <w:tblLayout w:type="fixed"/>
        <w:tblLook w:val="0000"/>
      </w:tblPr>
      <w:tblGrid>
        <w:gridCol w:w="3570"/>
        <w:gridCol w:w="2492"/>
        <w:gridCol w:w="4358"/>
      </w:tblGrid>
      <w:tr w:rsidR="00EC39A4">
        <w:tblPrEx>
          <w:tblCellMar>
            <w:top w:w="0" w:type="dxa"/>
            <w:bottom w:w="0" w:type="dxa"/>
          </w:tblCellMar>
        </w:tblPrEx>
        <w:trPr>
          <w:trHeight w:val="690"/>
        </w:trPr>
        <w:tc>
          <w:tcPr>
            <w:tcW w:w="10420" w:type="dxa"/>
            <w:gridSpan w:val="3"/>
            <w:tcBorders>
              <w:top w:val="single" w:sz="4" w:space="0" w:color="000000"/>
              <w:left w:val="single" w:sz="4" w:space="0" w:color="000000"/>
              <w:bottom w:val="single" w:sz="2"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Title:  Private Sector Development (PSD) Programme in Malawi</w:t>
            </w:r>
          </w:p>
        </w:tc>
      </w:tr>
      <w:tr w:rsidR="00EC39A4">
        <w:tblPrEx>
          <w:tblCellMar>
            <w:top w:w="0" w:type="dxa"/>
            <w:bottom w:w="0" w:type="dxa"/>
          </w:tblCellMar>
        </w:tblPrEx>
        <w:trPr>
          <w:trHeight w:val="413"/>
        </w:trPr>
        <w:tc>
          <w:tcPr>
            <w:tcW w:w="6062" w:type="dxa"/>
            <w:gridSpan w:val="2"/>
            <w:tcBorders>
              <w:top w:val="single" w:sz="2" w:space="0" w:color="000000"/>
              <w:left w:val="single" w:sz="4" w:space="0" w:color="000000"/>
              <w:bottom w:val="single" w:sz="2" w:space="0" w:color="000000"/>
              <w:right w:val="single" w:sz="2"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Programme Value: £17,392,254 </w:t>
            </w:r>
          </w:p>
        </w:tc>
        <w:tc>
          <w:tcPr>
            <w:tcW w:w="4358" w:type="dxa"/>
            <w:tcBorders>
              <w:top w:val="single" w:sz="2" w:space="0" w:color="000000"/>
              <w:left w:val="single" w:sz="2" w:space="0" w:color="000000"/>
              <w:bottom w:val="single" w:sz="2"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Review Date: December 2016</w:t>
            </w:r>
          </w:p>
        </w:tc>
      </w:tr>
      <w:tr w:rsidR="00EC39A4">
        <w:tblPrEx>
          <w:tblCellMar>
            <w:top w:w="0" w:type="dxa"/>
            <w:bottom w:w="0" w:type="dxa"/>
          </w:tblCellMar>
        </w:tblPrEx>
        <w:trPr>
          <w:trHeight w:val="300"/>
        </w:trPr>
        <w:tc>
          <w:tcPr>
            <w:tcW w:w="3570" w:type="dxa"/>
            <w:tcBorders>
              <w:top w:val="single" w:sz="2" w:space="0" w:color="000000"/>
              <w:left w:val="single" w:sz="4" w:space="0" w:color="000000"/>
              <w:bottom w:val="single" w:sz="4" w:space="0" w:color="000000"/>
              <w:right w:val="single" w:sz="2"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Programme Code: </w:t>
            </w:r>
          </w:p>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203824</w:t>
            </w:r>
          </w:p>
        </w:tc>
        <w:tc>
          <w:tcPr>
            <w:tcW w:w="2492" w:type="dxa"/>
            <w:tcBorders>
              <w:top w:val="single" w:sz="2" w:space="0" w:color="000000"/>
              <w:left w:val="single" w:sz="2" w:space="0" w:color="000000"/>
              <w:bottom w:val="single" w:sz="4" w:space="0" w:color="000000"/>
              <w:right w:val="single" w:sz="2"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Start Date: 2013</w:t>
            </w:r>
          </w:p>
        </w:tc>
        <w:tc>
          <w:tcPr>
            <w:tcW w:w="4358" w:type="dxa"/>
            <w:tcBorders>
              <w:top w:val="single" w:sz="2" w:space="0" w:color="000000"/>
              <w:left w:val="single" w:sz="2"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End Date:</w:t>
            </w:r>
            <w:r>
              <w:rPr>
                <w:rFonts w:ascii="Arial" w:hAnsi="Arial" w:cs="Arial"/>
                <w:lang/>
              </w:rPr>
              <w:t xml:space="preserve"> </w:t>
            </w:r>
            <w:r>
              <w:rPr>
                <w:rFonts w:ascii="Arial" w:hAnsi="Arial" w:cs="Arial"/>
                <w:b/>
                <w:bCs/>
                <w:lang/>
              </w:rPr>
              <w:t xml:space="preserve">31 December 2019 </w:t>
            </w: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Summary of Programme Performance </w:t>
      </w:r>
    </w:p>
    <w:tbl>
      <w:tblPr>
        <w:tblW w:w="0" w:type="auto"/>
        <w:tblInd w:w="108" w:type="dxa"/>
        <w:tblLayout w:type="fixed"/>
        <w:tblLook w:val="0000"/>
      </w:tblPr>
      <w:tblGrid>
        <w:gridCol w:w="2443"/>
        <w:gridCol w:w="1012"/>
        <w:gridCol w:w="1012"/>
        <w:gridCol w:w="1012"/>
        <w:gridCol w:w="1194"/>
      </w:tblGrid>
      <w:tr w:rsidR="00EC39A4">
        <w:tblPrEx>
          <w:tblCellMar>
            <w:top w:w="0" w:type="dxa"/>
            <w:bottom w:w="0" w:type="dxa"/>
          </w:tblCellMar>
        </w:tblPrEx>
        <w:trPr>
          <w:trHeight w:val="1"/>
        </w:trPr>
        <w:tc>
          <w:tcPr>
            <w:tcW w:w="2443"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Year</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2013/14</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2014/15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2015/16</w:t>
            </w:r>
          </w:p>
        </w:tc>
        <w:tc>
          <w:tcPr>
            <w:tcW w:w="119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2016/17</w:t>
            </w:r>
          </w:p>
        </w:tc>
      </w:tr>
      <w:tr w:rsidR="00EC39A4">
        <w:tblPrEx>
          <w:tblCellMar>
            <w:top w:w="0" w:type="dxa"/>
            <w:bottom w:w="0" w:type="dxa"/>
          </w:tblCellMar>
        </w:tblPrEx>
        <w:trPr>
          <w:trHeight w:val="1"/>
        </w:trPr>
        <w:tc>
          <w:tcPr>
            <w:tcW w:w="2443"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Programme Score</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A</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A</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A</w:t>
            </w:r>
          </w:p>
        </w:tc>
        <w:tc>
          <w:tcPr>
            <w:tcW w:w="119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A</w:t>
            </w:r>
          </w:p>
        </w:tc>
      </w:tr>
      <w:tr w:rsidR="00EC39A4">
        <w:tblPrEx>
          <w:tblCellMar>
            <w:top w:w="0" w:type="dxa"/>
            <w:bottom w:w="0" w:type="dxa"/>
          </w:tblCellMar>
        </w:tblPrEx>
        <w:trPr>
          <w:trHeight w:val="1"/>
        </w:trPr>
        <w:tc>
          <w:tcPr>
            <w:tcW w:w="2443"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Risk Rating</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w:t>
            </w:r>
          </w:p>
        </w:tc>
        <w:tc>
          <w:tcPr>
            <w:tcW w:w="119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Moderate</w:t>
            </w: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b/>
          <w:bCs/>
          <w:lang/>
        </w:rPr>
      </w:pPr>
      <w:r>
        <w:rPr>
          <w:rFonts w:ascii="Arial" w:hAnsi="Arial" w:cs="Arial"/>
          <w:b/>
          <w:bCs/>
          <w:lang/>
        </w:rPr>
        <w:t>Summary of progress and lessons learnt since last review</w:t>
      </w: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b/>
          <w:bCs/>
          <w:lang/>
        </w:rPr>
      </w:pPr>
      <w:r>
        <w:rPr>
          <w:rFonts w:ascii="Arial" w:hAnsi="Arial" w:cs="Arial"/>
          <w:b/>
          <w:bCs/>
          <w:lang/>
        </w:rPr>
        <w:tab/>
      </w: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The Private Sector Development Programme has five components: the Business Enabling Environment Programme (BEEP), the Malawi Oilseeds Sector Transformation Programme (MOST), the Business Innovation Facility (BIF), and the Malawi Innovation Challenge Fund (MICF) and the Monitoring and Evaluation component. The first four programmes were hampered in some way by external factors during the year under review, including a near total rain failure during the 2015/2016 cultivation season, power shortages that resulted in daily blackouts lasting up to 16 hours. Though later amicably resolved, the Malawian government’s arbitrary application of import taxes on vital agricultural equipment caused unforeseen delays and additional costs for the programme. The MOST programme was poised to demonstrate significant impact in the year under review, but found it challenging to facilitate farmer level changes during a year in which agricultural production was at a steep shortfall from average. It focused instead on continuing to build its platform of partnerships with Malawian firms, and adding interventions in access to finance and sesame. MICF’s portfolio of grantees suffered from the same set of constraints, with all of them requiring performance period extensions to achieve their benchmarks. Despite being stymied by the hesitation of the Malawian government to institute reforms, BEEP made significant progress on delivery of the World Bank Malawi Country Economic Memorandum and the GIZ Malawi Extractives Industry Transparency Initiatives. The Control of Goods Act and the Investment and Export Promotion Act were also delivered to respective Government Ministries as planned. Meanwhile, the BIF programme, which had been previously delayed by internal factors, used the year to catch up to the other components in the portfolio, developing a strong partnerships with private sector actors in the pico solar power, pigeon pea and rice market systems and addressing all other recommendations in the previous review.</w:t>
      </w: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As a result, BIF, MICF and MOST are poised to demonstrate significant impact in the coming year, particularly at the end of the 2016/2017 cultivation season. DFID should be able to see demonstrable impact midway through calendar 2017. However, even with sufficient rains this year, the other constraints continue to threaten the success of the programmes in the portfolio. DFID and the component managers should closely monitor the impact of these factors on component performance and grant flexibility where needed to adapt to new circumstances.</w:t>
      </w: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As in the previous year, in order to evaluate progress towards fostering systemic change, the review focusses on identifying evidence of learning and adaptation. Each of the programme teams: the MOST programme, BIF and MICF, demonstrate significant meaningful engagement with their work, with the teams able to articulate what they have learned and how they have adapted their activities in response. In the previous year, the review team commented that BIF’s pace of partnership development and experimentation was stymied by internal factors – those issues have been thoroughly addressed. All three programmes now demonstrate strong contextual learning and learning.</w:t>
      </w: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 xml:space="preserve">Also in the year under review, BEEP supported three key  initiatives as outlined above. </w:t>
      </w: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 xml:space="preserve">While some of the some constraints are major investment areas, eg power, we are, as part of the Country Economic Memorandum and wider economic development engagement in Malawi, aware and taking action (eg discussions with CDC and UK investors). For climate related constraints and outside our control, eg poor rains, DFID would need to put the emphasis back on climate–resilient investment decisions. </w:t>
      </w: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 xml:space="preserve"> </w:t>
      </w: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b/>
          <w:bCs/>
          <w:lang/>
        </w:rPr>
      </w:pPr>
      <w:r>
        <w:rPr>
          <w:rFonts w:ascii="Arial" w:hAnsi="Arial" w:cs="Arial"/>
          <w:b/>
          <w:bCs/>
          <w:lang/>
        </w:rPr>
        <w:t>Summary of recommendations for the next year</w:t>
      </w:r>
    </w:p>
    <w:p w:rsidR="00EC39A4" w:rsidRDefault="00EC39A4" w:rsidP="00EC39A4">
      <w:pPr>
        <w:tabs>
          <w:tab w:val="left" w:pos="6915"/>
          <w:tab w:val="left" w:pos="9495"/>
        </w:tabs>
        <w:autoSpaceDE w:val="0"/>
        <w:autoSpaceDN w:val="0"/>
        <w:adjustRightInd w:val="0"/>
        <w:spacing w:after="0" w:line="240" w:lineRule="auto"/>
        <w:jc w:val="both"/>
        <w:rPr>
          <w:rFonts w:ascii="Arial" w:hAnsi="Arial" w:cs="Arial"/>
          <w:lang/>
        </w:rPr>
      </w:pPr>
      <w:r>
        <w:rPr>
          <w:rFonts w:ascii="Arial" w:hAnsi="Arial" w:cs="Arial"/>
          <w:lang/>
        </w:rPr>
        <w:t>In 2017, DFID should address the following issues to ensure the Programme meets its potential:</w:t>
      </w: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numPr>
          <w:ilvl w:val="0"/>
          <w:numId w:val="1"/>
        </w:numPr>
        <w:tabs>
          <w:tab w:val="left" w:pos="6195"/>
          <w:tab w:val="left" w:pos="8775"/>
        </w:tabs>
        <w:autoSpaceDE w:val="0"/>
        <w:autoSpaceDN w:val="0"/>
        <w:adjustRightInd w:val="0"/>
        <w:spacing w:after="0" w:line="240" w:lineRule="auto"/>
        <w:ind w:left="1440" w:hanging="360"/>
        <w:jc w:val="both"/>
        <w:rPr>
          <w:rFonts w:ascii="Arial" w:hAnsi="Arial" w:cs="Arial"/>
          <w:lang/>
        </w:rPr>
      </w:pPr>
      <w:r>
        <w:rPr>
          <w:rFonts w:ascii="Arial" w:hAnsi="Arial" w:cs="Arial"/>
          <w:b/>
          <w:bCs/>
          <w:lang/>
        </w:rPr>
        <w:t>Malawi Innovation Challenge Fund</w:t>
      </w:r>
      <w:r>
        <w:rPr>
          <w:rFonts w:ascii="Arial" w:hAnsi="Arial" w:cs="Arial"/>
          <w:lang/>
        </w:rPr>
        <w:t xml:space="preserve">: the Fund will need to monitor closely the progress of its existing portfolio of grantees until the end of its extended period of performance in mid-2017 to ensure that they meet their milestones and are in the position to receive their full commitment of funds. It will need to draw lessons from the first round into the new window to ensure that successes are replicated. </w:t>
      </w:r>
    </w:p>
    <w:p w:rsidR="00EC39A4" w:rsidRDefault="00EC39A4" w:rsidP="00EC39A4">
      <w:pPr>
        <w:tabs>
          <w:tab w:val="left" w:pos="6195"/>
          <w:tab w:val="left" w:pos="8775"/>
        </w:tabs>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tabs>
          <w:tab w:val="left" w:pos="6195"/>
          <w:tab w:val="left" w:pos="8775"/>
        </w:tabs>
        <w:autoSpaceDE w:val="0"/>
        <w:autoSpaceDN w:val="0"/>
        <w:adjustRightInd w:val="0"/>
        <w:spacing w:after="0" w:line="240" w:lineRule="auto"/>
        <w:ind w:left="1440" w:hanging="360"/>
        <w:jc w:val="both"/>
        <w:rPr>
          <w:rFonts w:ascii="Arial" w:hAnsi="Arial" w:cs="Arial"/>
          <w:lang/>
        </w:rPr>
      </w:pPr>
      <w:r>
        <w:rPr>
          <w:rFonts w:ascii="Arial" w:hAnsi="Arial" w:cs="Arial"/>
          <w:b/>
          <w:bCs/>
          <w:lang/>
        </w:rPr>
        <w:t>Malawi Oilseed Sector Transformation Programme</w:t>
      </w:r>
      <w:r>
        <w:rPr>
          <w:rFonts w:ascii="Arial" w:hAnsi="Arial" w:cs="Arial"/>
          <w:lang/>
        </w:rPr>
        <w:t>: MOST should give more consideration to the possible need to drop non-performing initiatives (potentially its sunflower work), focusing its remaining resources instead on those interventions which show more promise in its final two years.</w:t>
      </w:r>
    </w:p>
    <w:p w:rsidR="00EC39A4" w:rsidRDefault="00EC39A4" w:rsidP="00EC39A4">
      <w:pPr>
        <w:autoSpaceDE w:val="0"/>
        <w:autoSpaceDN w:val="0"/>
        <w:adjustRightInd w:val="0"/>
        <w:spacing w:after="0" w:line="240" w:lineRule="auto"/>
        <w:ind w:left="720"/>
        <w:rPr>
          <w:rFonts w:ascii="Calibri" w:hAnsi="Calibri" w:cs="Calibri"/>
          <w:lang/>
        </w:rPr>
      </w:pPr>
    </w:p>
    <w:p w:rsidR="00EC39A4" w:rsidRDefault="00EC39A4" w:rsidP="00EC39A4">
      <w:pPr>
        <w:numPr>
          <w:ilvl w:val="0"/>
          <w:numId w:val="1"/>
        </w:numPr>
        <w:tabs>
          <w:tab w:val="left" w:pos="6195"/>
          <w:tab w:val="left" w:pos="8775"/>
        </w:tabs>
        <w:autoSpaceDE w:val="0"/>
        <w:autoSpaceDN w:val="0"/>
        <w:adjustRightInd w:val="0"/>
        <w:spacing w:after="0" w:line="240" w:lineRule="auto"/>
        <w:ind w:left="1440" w:hanging="360"/>
        <w:jc w:val="both"/>
        <w:rPr>
          <w:rFonts w:ascii="Arial" w:hAnsi="Arial" w:cs="Arial"/>
          <w:lang/>
        </w:rPr>
      </w:pPr>
      <w:r>
        <w:rPr>
          <w:rFonts w:ascii="Arial" w:hAnsi="Arial" w:cs="Arial"/>
          <w:b/>
          <w:bCs/>
          <w:lang/>
        </w:rPr>
        <w:t>Business Innovation Facility:</w:t>
      </w:r>
      <w:r>
        <w:rPr>
          <w:rFonts w:ascii="Arial" w:hAnsi="Arial" w:cs="Arial"/>
          <w:lang/>
        </w:rPr>
        <w:t xml:space="preserve"> BIF ceases its work under DFID Malawi funding during 2017, so this review’s recommendations are made with that limit in mind. Principally, the review team feels that a review of the potential for real growth in the rice market system is still warranted, given Malawi’s productivity challenges and the low likelihood of irrigation adoption.</w:t>
      </w:r>
    </w:p>
    <w:p w:rsidR="00EC39A4" w:rsidRDefault="00EC39A4" w:rsidP="00EC39A4">
      <w:pPr>
        <w:autoSpaceDE w:val="0"/>
        <w:autoSpaceDN w:val="0"/>
        <w:adjustRightInd w:val="0"/>
        <w:spacing w:after="0" w:line="240" w:lineRule="auto"/>
        <w:ind w:left="720"/>
        <w:rPr>
          <w:rFonts w:ascii="Calibri" w:hAnsi="Calibri" w:cs="Calibri"/>
          <w:lang/>
        </w:rPr>
      </w:pPr>
    </w:p>
    <w:p w:rsidR="00EC39A4" w:rsidRDefault="00EC39A4" w:rsidP="00EC39A4">
      <w:pPr>
        <w:numPr>
          <w:ilvl w:val="0"/>
          <w:numId w:val="1"/>
        </w:numPr>
        <w:tabs>
          <w:tab w:val="left" w:pos="6195"/>
          <w:tab w:val="left" w:pos="8775"/>
        </w:tabs>
        <w:autoSpaceDE w:val="0"/>
        <w:autoSpaceDN w:val="0"/>
        <w:adjustRightInd w:val="0"/>
        <w:spacing w:after="0" w:line="240" w:lineRule="auto"/>
        <w:ind w:left="1440" w:hanging="360"/>
        <w:jc w:val="both"/>
        <w:rPr>
          <w:rFonts w:ascii="Arial" w:hAnsi="Arial" w:cs="Arial"/>
          <w:lang/>
        </w:rPr>
      </w:pPr>
      <w:r>
        <w:rPr>
          <w:rFonts w:ascii="Arial" w:hAnsi="Arial" w:cs="Arial"/>
          <w:b/>
          <w:bCs/>
          <w:lang/>
        </w:rPr>
        <w:t xml:space="preserve">Business Enabling Environment Programme: </w:t>
      </w:r>
      <w:r>
        <w:rPr>
          <w:rFonts w:ascii="Arial" w:hAnsi="Arial" w:cs="Arial"/>
          <w:lang/>
        </w:rPr>
        <w:t>Malawi’s business environment remains a key bottleneck to agricultural investment and growth and some measured level of involvement in this area is critical. DFID Malawi should consider investing the BEEP resources in new activities where there is a wider base of multi stakeholder involvement and therefore a high likelihood of making traction. Supporting the on-going effort to improve accountability and transparency in the maize market through IFPRI is highly recommended. The remaining funds should be channelled to the upcoming irrigation window under the Malawi Innovation Challenge Fund component, as the current allocation to this final round is deemed insufficient to guarantee meaningful impact.The two activities should be approved by the Head of Office by March 2017.</w:t>
      </w:r>
    </w:p>
    <w:p w:rsidR="00EC39A4" w:rsidRDefault="00EC39A4" w:rsidP="00EC39A4">
      <w:pPr>
        <w:autoSpaceDE w:val="0"/>
        <w:autoSpaceDN w:val="0"/>
        <w:adjustRightInd w:val="0"/>
        <w:spacing w:after="0" w:line="240" w:lineRule="auto"/>
        <w:ind w:left="720"/>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ind w:left="720"/>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tabs>
          <w:tab w:val="left" w:pos="6915"/>
          <w:tab w:val="left" w:pos="9495"/>
        </w:tabs>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A. Introduction and Context </w:t>
      </w:r>
      <w:r>
        <w:rPr>
          <w:rFonts w:ascii="Arial" w:hAnsi="Arial" w:cs="Arial"/>
          <w:highlight w:val="white"/>
          <w:lang/>
        </w:rPr>
        <w:t>(1 page)</w:t>
      </w: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4185" w:type="dxa"/>
        <w:tblLayout w:type="fixed"/>
        <w:tblLook w:val="0000"/>
      </w:tblPr>
      <w:tblGrid>
        <w:gridCol w:w="2030"/>
        <w:gridCol w:w="4313"/>
      </w:tblGrid>
      <w:tr w:rsidR="00EC39A4">
        <w:tblPrEx>
          <w:tblCellMar>
            <w:top w:w="0" w:type="dxa"/>
            <w:bottom w:w="0" w:type="dxa"/>
          </w:tblCellMar>
        </w:tblPrEx>
        <w:trPr>
          <w:trHeight w:val="1"/>
        </w:trPr>
        <w:tc>
          <w:tcPr>
            <w:tcW w:w="203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DevTracker Link to Business Case: </w:t>
            </w:r>
          </w:p>
        </w:tc>
        <w:tc>
          <w:tcPr>
            <w:tcW w:w="4313"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hyperlink r:id="rId5" w:history="1">
              <w:r>
                <w:rPr>
                  <w:rFonts w:ascii="Arial" w:hAnsi="Arial" w:cs="Arial"/>
                  <w:color w:val="0000FF"/>
                  <w:u w:val="single"/>
                  <w:lang/>
                </w:rPr>
                <w:t>https://devtracker.dfid.gov.uk/projects/GB-1-203824/documents</w:t>
              </w:r>
            </w:hyperlink>
            <w:r>
              <w:rPr>
                <w:rFonts w:ascii="Arial" w:hAnsi="Arial" w:cs="Arial"/>
                <w:lang/>
              </w:rPr>
              <w:t>.</w:t>
            </w:r>
          </w:p>
        </w:tc>
      </w:tr>
      <w:tr w:rsidR="00EC39A4">
        <w:tblPrEx>
          <w:tblCellMar>
            <w:top w:w="0" w:type="dxa"/>
            <w:bottom w:w="0" w:type="dxa"/>
          </w:tblCellMar>
        </w:tblPrEx>
        <w:trPr>
          <w:trHeight w:val="1"/>
        </w:trPr>
        <w:tc>
          <w:tcPr>
            <w:tcW w:w="203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DevTracker Link to Log frame: </w:t>
            </w:r>
          </w:p>
        </w:tc>
        <w:tc>
          <w:tcPr>
            <w:tcW w:w="4313"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hyperlink r:id="rId6" w:history="1">
              <w:r>
                <w:rPr>
                  <w:rFonts w:ascii="Arial" w:hAnsi="Arial" w:cs="Arial"/>
                  <w:color w:val="0000FF"/>
                  <w:u w:val="single"/>
                  <w:lang/>
                </w:rPr>
                <w:t>https</w:t>
              </w:r>
              <w:r>
                <w:rPr>
                  <w:rFonts w:ascii="Arial" w:hAnsi="Arial" w:cs="Arial"/>
                  <w:vanish/>
                  <w:color w:val="0000FF"/>
                  <w:u w:val="single"/>
                  <w:lang/>
                </w:rPr>
                <w:t>HYPERLINK "https://devtracker.dfid.gov.uk/projects/GB-1-203824/documents"</w:t>
              </w:r>
              <w:r>
                <w:rPr>
                  <w:rFonts w:ascii="Arial" w:hAnsi="Arial" w:cs="Arial"/>
                  <w:color w:val="0000FF"/>
                  <w:u w:val="single"/>
                  <w:lang/>
                </w:rPr>
                <w:t>://devtracker.dfid.gov.uk/projects/GB-1-203824/documents</w:t>
              </w:r>
            </w:hyperlink>
            <w:r>
              <w:rPr>
                <w:rFonts w:ascii="Arial" w:hAnsi="Arial" w:cs="Arial"/>
                <w:lang/>
              </w:rPr>
              <w:t>.</w:t>
            </w: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Outline of the programme</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DFID Malawi is providing £17.39m from 2013 through 2019 to support private sector development in Malawi.  The programme has the following four components:</w:t>
      </w: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68" w:type="dxa"/>
        <w:tblLayout w:type="fixed"/>
        <w:tblLook w:val="0000"/>
      </w:tblPr>
      <w:tblGrid>
        <w:gridCol w:w="2125"/>
        <w:gridCol w:w="1439"/>
        <w:gridCol w:w="3808"/>
        <w:gridCol w:w="3402"/>
      </w:tblGrid>
      <w:tr w:rsidR="00EC39A4">
        <w:tblPrEx>
          <w:tblCellMar>
            <w:top w:w="0" w:type="dxa"/>
            <w:bottom w:w="0" w:type="dxa"/>
          </w:tblCellMar>
        </w:tblPrEx>
        <w:trPr>
          <w:trHeight w:val="1"/>
        </w:trPr>
        <w:tc>
          <w:tcPr>
            <w:tcW w:w="2125" w:type="dxa"/>
            <w:tcBorders>
              <w:top w:val="single" w:sz="4" w:space="0" w:color="000000"/>
              <w:left w:val="single" w:sz="4" w:space="0" w:color="000000"/>
              <w:bottom w:val="single" w:sz="4" w:space="0" w:color="000000"/>
              <w:right w:val="single" w:sz="4" w:space="0" w:color="000000"/>
            </w:tcBorders>
            <w:shd w:val="clear" w:color="000000" w:fill="BFBFB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Component</w:t>
            </w:r>
          </w:p>
        </w:tc>
        <w:tc>
          <w:tcPr>
            <w:tcW w:w="1439" w:type="dxa"/>
            <w:tcBorders>
              <w:top w:val="single" w:sz="4" w:space="0" w:color="000000"/>
              <w:left w:val="single" w:sz="4" w:space="0" w:color="000000"/>
              <w:bottom w:val="single" w:sz="4" w:space="0" w:color="000000"/>
              <w:right w:val="single" w:sz="4" w:space="0" w:color="000000"/>
            </w:tcBorders>
            <w:shd w:val="clear" w:color="000000" w:fill="BFBFB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Total funding from 2013-2018</w:t>
            </w:r>
          </w:p>
        </w:tc>
        <w:tc>
          <w:tcPr>
            <w:tcW w:w="3808" w:type="dxa"/>
            <w:tcBorders>
              <w:top w:val="single" w:sz="4" w:space="0" w:color="000000"/>
              <w:left w:val="single" w:sz="4" w:space="0" w:color="000000"/>
              <w:bottom w:val="single" w:sz="4" w:space="0" w:color="000000"/>
              <w:right w:val="single" w:sz="4" w:space="0" w:color="000000"/>
            </w:tcBorders>
            <w:shd w:val="clear" w:color="000000" w:fill="BFBFB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Original Implementing Arrangements approved at business case</w:t>
            </w:r>
          </w:p>
        </w:tc>
        <w:tc>
          <w:tcPr>
            <w:tcW w:w="3402" w:type="dxa"/>
            <w:tcBorders>
              <w:top w:val="single" w:sz="4" w:space="0" w:color="000000"/>
              <w:left w:val="single" w:sz="4" w:space="0" w:color="000000"/>
              <w:bottom w:val="single" w:sz="4" w:space="0" w:color="000000"/>
              <w:right w:val="single" w:sz="4" w:space="0" w:color="000000"/>
            </w:tcBorders>
            <w:shd w:val="clear" w:color="000000" w:fill="BFBFB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Current Implementing Arrangements</w:t>
            </w:r>
          </w:p>
        </w:tc>
      </w:tr>
      <w:tr w:rsidR="00EC39A4">
        <w:tblPrEx>
          <w:tblCellMar>
            <w:top w:w="0" w:type="dxa"/>
            <w:bottom w:w="0" w:type="dxa"/>
          </w:tblCellMar>
        </w:tblPrEx>
        <w:trPr>
          <w:trHeight w:val="1"/>
        </w:trPr>
        <w:tc>
          <w:tcPr>
            <w:tcW w:w="212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 xml:space="preserve">Malawi Innovation Challenge Fund  - </w:t>
            </w:r>
            <w:r>
              <w:rPr>
                <w:rFonts w:ascii="Arial" w:hAnsi="Arial" w:cs="Arial"/>
                <w:sz w:val="21"/>
                <w:szCs w:val="21"/>
                <w:lang/>
              </w:rPr>
              <w:t xml:space="preserve">Support to the </w:t>
            </w:r>
            <w:r>
              <w:rPr>
                <w:rFonts w:ascii="Arial" w:hAnsi="Arial" w:cs="Arial"/>
                <w:sz w:val="21"/>
                <w:szCs w:val="21"/>
                <w:lang/>
              </w:rPr>
              <w:lastRenderedPageBreak/>
              <w:t xml:space="preserve">Malawi Innovation Challenge Fund </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lastRenderedPageBreak/>
              <w:t>£ 5 million</w:t>
            </w:r>
          </w:p>
        </w:tc>
        <w:tc>
          <w:tcPr>
            <w:tcW w:w="38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 xml:space="preserve">UNDP as the implementing agency through an Administrative Arrangement, with UNDP contracting </w:t>
            </w:r>
            <w:r>
              <w:rPr>
                <w:rFonts w:ascii="Arial" w:hAnsi="Arial" w:cs="Arial"/>
                <w:sz w:val="21"/>
                <w:szCs w:val="21"/>
                <w:lang/>
              </w:rPr>
              <w:lastRenderedPageBreak/>
              <w:t>an independent Challenge Fund manager.</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lastRenderedPageBreak/>
              <w:t xml:space="preserve">UNDP is the main implementing partner, who subsequently contracted the consultancy </w:t>
            </w:r>
            <w:r>
              <w:rPr>
                <w:rFonts w:ascii="Arial" w:hAnsi="Arial" w:cs="Arial"/>
                <w:sz w:val="21"/>
                <w:szCs w:val="21"/>
                <w:lang/>
              </w:rPr>
              <w:lastRenderedPageBreak/>
              <w:t>companies Nathan and Imani associates (as Challenge Fund managers).</w:t>
            </w:r>
          </w:p>
        </w:tc>
      </w:tr>
      <w:tr w:rsidR="00EC39A4">
        <w:tblPrEx>
          <w:tblCellMar>
            <w:top w:w="0" w:type="dxa"/>
            <w:bottom w:w="0" w:type="dxa"/>
          </w:tblCellMar>
        </w:tblPrEx>
        <w:trPr>
          <w:trHeight w:val="1"/>
        </w:trPr>
        <w:tc>
          <w:tcPr>
            <w:tcW w:w="212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lastRenderedPageBreak/>
              <w:t xml:space="preserve">Business Innovation Facility 2 </w:t>
            </w:r>
            <w:r>
              <w:rPr>
                <w:rFonts w:ascii="Arial" w:hAnsi="Arial" w:cs="Arial"/>
                <w:sz w:val="21"/>
                <w:szCs w:val="21"/>
                <w:lang/>
              </w:rPr>
              <w:t xml:space="preserve">Support to businesses and other stakeholders in selected markets </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£ 1 million (+ £5m up to 2019 provided by DFID HQ through the Private Sector Department)</w:t>
            </w:r>
          </w:p>
        </w:tc>
        <w:tc>
          <w:tcPr>
            <w:tcW w:w="38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DFID Malawi provides it contribution to the Private Sector Department at HQ, which administers all BIF 2 funds.  At the time that the business case was approved there was a plan to extend PWC/Imani’s contract following the pilot stage of the project.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The consultancy company PwC is the main implementing partner under a contract managed by DFID HQ (with the consultancy company Imani Consulting as the downstream partner in Malawi).  Funds are administered centrally.</w:t>
            </w:r>
          </w:p>
        </w:tc>
      </w:tr>
      <w:tr w:rsidR="00EC39A4">
        <w:tblPrEx>
          <w:tblCellMar>
            <w:top w:w="0" w:type="dxa"/>
            <w:bottom w:w="0" w:type="dxa"/>
          </w:tblCellMar>
        </w:tblPrEx>
        <w:trPr>
          <w:trHeight w:val="1"/>
        </w:trPr>
        <w:tc>
          <w:tcPr>
            <w:tcW w:w="212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 xml:space="preserve">Business Enabling Environment Programme  - </w:t>
            </w:r>
            <w:r>
              <w:rPr>
                <w:rFonts w:ascii="Arial" w:hAnsi="Arial" w:cs="Arial"/>
                <w:sz w:val="21"/>
                <w:szCs w:val="21"/>
                <w:lang/>
              </w:rPr>
              <w:t xml:space="preserve">Support to initiatives to improve the Business Enabling Environment, including capacity building </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 xml:space="preserve">£3.574 million </w:t>
            </w:r>
          </w:p>
        </w:tc>
        <w:tc>
          <w:tcPr>
            <w:tcW w:w="38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 xml:space="preserve">DFID Malawi was to originally provide £3.574 million  to the World Bank through a Single Donor Trust Fund.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 xml:space="preserve">DFID directly manages the BEEP programme, having made the decision not to work with the World Bank, including the procurement of consultants to undertake specific pieces of work. </w:t>
            </w:r>
          </w:p>
        </w:tc>
      </w:tr>
      <w:tr w:rsidR="00EC39A4">
        <w:tblPrEx>
          <w:tblCellMar>
            <w:top w:w="0" w:type="dxa"/>
            <w:bottom w:w="0" w:type="dxa"/>
          </w:tblCellMar>
        </w:tblPrEx>
        <w:trPr>
          <w:trHeight w:val="1461"/>
        </w:trPr>
        <w:tc>
          <w:tcPr>
            <w:tcW w:w="212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sz w:val="21"/>
                <w:szCs w:val="21"/>
                <w:lang/>
              </w:rPr>
              <w:t xml:space="preserve">Malawi Oilseeds Sector Transformation Programme - </w:t>
            </w:r>
            <w:r>
              <w:rPr>
                <w:rFonts w:ascii="Arial" w:hAnsi="Arial" w:cs="Arial"/>
                <w:sz w:val="21"/>
                <w:szCs w:val="21"/>
                <w:lang/>
              </w:rPr>
              <w:t xml:space="preserve">Support to the development of Malawi’s Oil Seeds Sector </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£7.39million</w:t>
            </w:r>
          </w:p>
        </w:tc>
        <w:tc>
          <w:tcPr>
            <w:tcW w:w="38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DFID Malawi to contract a Technical Service Provider through a competitive process to oversee the implementation of a Market Development Programme, as well as to provide technical assistance to drive a Technical Working Group (TWG) to deliver the Government’s Oil Seeds Sector strategy.</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Competitive process led to the contracting of Adam Smith International (ASI), partnered with Kadale Consultants and the African Institute for Corporate Citizenship. ASI has also contracted the Technical Assistant for the Technical Working Group on Oil Seeds. The extended contract (£1.39 additional money) is awaiting final ministerial approval.</w:t>
            </w:r>
          </w:p>
        </w:tc>
      </w:tr>
      <w:tr w:rsidR="00EC39A4">
        <w:tblPrEx>
          <w:tblCellMar>
            <w:top w:w="0" w:type="dxa"/>
            <w:bottom w:w="0" w:type="dxa"/>
          </w:tblCellMar>
        </w:tblPrEx>
        <w:trPr>
          <w:trHeight w:val="1461"/>
        </w:trPr>
        <w:tc>
          <w:tcPr>
            <w:tcW w:w="212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b/>
                <w:bCs/>
                <w:sz w:val="21"/>
                <w:szCs w:val="21"/>
                <w:lang/>
              </w:rPr>
            </w:pPr>
            <w:r>
              <w:rPr>
                <w:rFonts w:ascii="Arial" w:hAnsi="Arial" w:cs="Arial"/>
                <w:b/>
                <w:bCs/>
                <w:sz w:val="21"/>
                <w:szCs w:val="21"/>
                <w:lang/>
              </w:rPr>
              <w:t>Monitoring and Evaluation programme-</w:t>
            </w:r>
          </w:p>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Support to external review of the whole PSD programme</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£425,025</w:t>
            </w:r>
          </w:p>
        </w:tc>
        <w:tc>
          <w:tcPr>
            <w:tcW w:w="38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Each of the four programs had its own monitoring and evaluation plan, mainly depending on implementing partners monitoring and evaluation frameworks.</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1"/>
                <w:szCs w:val="21"/>
                <w:lang/>
              </w:rPr>
              <w:t>An ex-post evaluation plus three external reviews will be undertaken by independent consultants to learn lessons and determine the actual impact of the programme. Landell Mills was hired as a consultant through General Evaluation Framework (GEFA).</w:t>
            </w:r>
          </w:p>
        </w:tc>
      </w:tr>
    </w:tbl>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overarching aim of the programme is to improve the livelihoods of poor people. The approach remains three-pronged: (i) working with Government to improve the environment in which businesses invest; (ii) working with a range of stakeholders to help specific sectors to reach their full potential; and (iii) providing financial and technical support to businesses adopting pro-poor business models. An ambition across all components is to support systemic change at scale, contributing to inclusive economic growth.</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context for the intervention remains as it was at the business case, in terms of GDP per capita, poor human development indicators, and continued dependence on rain fed agriculture for food security and livelihoods. The programme was designed to align closely with the </w:t>
      </w:r>
      <w:r>
        <w:rPr>
          <w:rFonts w:ascii="Arial" w:hAnsi="Arial" w:cs="Arial"/>
          <w:lang/>
        </w:rPr>
        <w:lastRenderedPageBreak/>
        <w:t xml:space="preserve">Government of Malawi’s National Export Strategy. Although there has been a change in Government since the programme was designed, the National Export Strategy remains a valid policy document and the new Government has signalled ongoing commitment to supporting the private sector. However, there has been insufficient progress in improving the business enabling environment, with Government continuing to undermine incentives for businesses to invest through its intervention in markets. For this reason, the decision was taken in 2015 to pause BEEP and to refocus it on to economic governance work. A small number of one-off pieces of policy support were carried out during 2016. This process is ongoing, and is discussed under the relevant output performance.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B: PERFORMANCE AND CONCLUSIONS </w:t>
      </w:r>
      <w:r>
        <w:rPr>
          <w:rFonts w:ascii="Arial" w:hAnsi="Arial" w:cs="Arial"/>
          <w:highlight w:val="white"/>
          <w:lang/>
        </w:rPr>
        <w:t>(1-2 pages)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Annual outcome assessment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color w:val="000000"/>
          <w:lang/>
        </w:rPr>
      </w:pPr>
      <w:r>
        <w:rPr>
          <w:rFonts w:ascii="Arial" w:hAnsi="Arial" w:cs="Arial"/>
          <w:lang/>
        </w:rPr>
        <w:t>The programme’s intended outcome is “i</w:t>
      </w:r>
      <w:r>
        <w:rPr>
          <w:rFonts w:ascii="Arial" w:hAnsi="Arial" w:cs="Arial"/>
          <w:color w:val="000000"/>
          <w:lang/>
        </w:rPr>
        <w:t>ncreased capacity of the private sector to invest and provide improved products and services to poor people.” There are two outcome indicators: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color w:val="000000"/>
          <w:lang/>
        </w:rPr>
      </w:pPr>
      <w:r>
        <w:rPr>
          <w:rFonts w:ascii="Arial" w:hAnsi="Arial" w:cs="Arial"/>
          <w:lang/>
        </w:rPr>
        <w:t xml:space="preserve">Outcome Indicator 1: </w:t>
      </w:r>
      <w:r>
        <w:rPr>
          <w:rFonts w:ascii="Arial" w:hAnsi="Arial" w:cs="Arial"/>
          <w:color w:val="000000"/>
          <w:lang/>
        </w:rPr>
        <w:t xml:space="preserve">Direct private sector investment leveraged as a result of programme interventions </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color w:val="000000"/>
          <w:lang/>
        </w:rPr>
      </w:pPr>
      <w:r>
        <w:rPr>
          <w:rFonts w:ascii="Arial" w:hAnsi="Arial" w:cs="Arial"/>
          <w:lang/>
        </w:rPr>
        <w:t xml:space="preserve">Outcome Indicator 2: </w:t>
      </w:r>
      <w:r>
        <w:rPr>
          <w:rFonts w:ascii="Arial" w:hAnsi="Arial" w:cs="Arial"/>
          <w:color w:val="000000"/>
          <w:lang/>
        </w:rPr>
        <w:t xml:space="preserve">Number of poor people benefiting from inclusive business models through utilisation of improved products and services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b/>
          <w:bCs/>
          <w:lang/>
        </w:rPr>
        <w:t xml:space="preserve">Outcome Indicator 1 – </w:t>
      </w:r>
      <w:r>
        <w:rPr>
          <w:rFonts w:ascii="Arial" w:hAnsi="Arial" w:cs="Arial"/>
          <w:lang/>
        </w:rPr>
        <w:t>MICF is the sole contributor to this indicator as both the MOST and BIF programmes expressed concerns about committing to a target to leverage investments, given that this is not necessarily a focus of a market systems programme. The target for 2016 was USD 3,000,000 in direct private sector investment leveraged as a result of programme interventions by December 2016.</w:t>
      </w:r>
      <w:r>
        <w:rPr>
          <w:rFonts w:ascii="Arial" w:hAnsi="Arial" w:cs="Arial"/>
          <w:b/>
          <w:bCs/>
          <w:lang/>
        </w:rPr>
        <w:t xml:space="preserve"> </w:t>
      </w:r>
      <w:r>
        <w:rPr>
          <w:rFonts w:ascii="Arial" w:hAnsi="Arial" w:cs="Arial"/>
          <w:lang/>
        </w:rPr>
        <w:t>The total achieved was USD 3,353,290 million (112%),</w:t>
      </w:r>
      <w:r>
        <w:rPr>
          <w:rFonts w:ascii="Arial" w:hAnsi="Arial" w:cs="Arial"/>
          <w:b/>
          <w:bCs/>
          <w:lang/>
        </w:rPr>
        <w:t xml:space="preserve"> </w:t>
      </w:r>
      <w:r>
        <w:rPr>
          <w:rFonts w:ascii="Arial" w:hAnsi="Arial" w:cs="Arial"/>
          <w:lang/>
        </w:rPr>
        <w:t>meaning that grantees invested USD 3,353,290 million of their own money in activities supported by the Fund. This figure is against USD 2,289,252 provided to the 10 grantees by MICF.</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b/>
          <w:bCs/>
          <w:lang/>
        </w:rPr>
        <w:t>Outcome Indicator 2 –</w:t>
      </w:r>
      <w:r>
        <w:rPr>
          <w:rFonts w:ascii="Arial" w:hAnsi="Arial" w:cs="Arial"/>
          <w:lang/>
        </w:rPr>
        <w:t xml:space="preserve"> The target for 2016 was 35,658. Poor people benefit from inclusive business models through utilisation of new products and services. This figure equals MICF’s cumulative target for December 2016 (in line with its reporting period), BIF’s cumulative target for achievement by October 31 (2016 in line with its reporting period), and the MOST’s previous target plus the April – October portion of MOST’s target for 2016/2017 (the whole target which the programme will report against after March 2017). The three programmes achieved a total of 75,757 (212%), with BIF (7,708 beneficiaries against a projected 1,080) and MOST (56,624 beneficiaries against a target of 14,578) significantly exceeding their targets, and MICF (11,425 beneficiaries against a target of 20,000) falling short.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Overall output score and description</w:t>
      </w:r>
    </w:p>
    <w:p w:rsidR="00EC39A4" w:rsidRDefault="00EC39A4" w:rsidP="00EC39A4">
      <w:pPr>
        <w:autoSpaceDE w:val="0"/>
        <w:autoSpaceDN w:val="0"/>
        <w:adjustRightInd w:val="0"/>
        <w:spacing w:after="0" w:line="240" w:lineRule="auto"/>
        <w:ind w:left="360"/>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A – performance met expectations.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Key lessons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private sector development programme includes a set of four components that were conceived separately though with a common theme of fostering sustainable increases in income through increased economic activity. Aside from that, their principal commonality is geographic. </w:t>
      </w:r>
      <w:r>
        <w:rPr>
          <w:rFonts w:ascii="Arial" w:hAnsi="Arial" w:cs="Arial"/>
          <w:lang/>
        </w:rPr>
        <w:lastRenderedPageBreak/>
        <w:t xml:space="preserve">As was determined in the 2015 Annual Review, this makes it very difficult to pull them all together under one common log frame, as has been done. In this light, DFID has worked to achieve some measure of complementarity between the activities of BIF, MICF and MOST, as well as DFID-funded AgDevCO Equity and Loans Facility.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Generally, BIF, MICF and MOST were severely hampered in the year under review by adverse weather and macroeconomic conditions that made it difficult for partner firms to invest in component-supported innovations. Both of these circumstances lie outside of the components’ realm of influence. However, it is worthy of note that rainfed agriculture in a largely subsistence economy is always extremely risky (for the farmer and the program supporting her). Even the best facilitative team will struggle in the absence of favourable weather. At the same time, to the External Review team’s knowledge, there is no agricultural economy on record that has developed significantly in the absence of irrigation, for precisely this reason. It may not be possible at this stage to include a robust focus on irrigation in the design of any of the components, but it is worth DFID’s consideration that future programmes necessarily include a plausible effort to facilitate a broad adoption of irrigation into any agricultural market development activity.</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As the challenging political economy environment made it hard to gain traction in strengthening public sector institutions and supporting improvements in the policy environment, DFID has been forced to rethink its strategy of supporting the Malawian government to achieve feasible enabling environment reform. Prior to the start of a new programme, DFID would benefit from a thorough review of how BEEP reached a state of inertia (from inception to implementation), and how a similar result may be avoided in the future.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Lastly, in the previous review exercise, DFID, the component programmes, and the review team discussed the possibility of analysing “portfolio-level systemic change” that may result from the complementarity or synergy of more than one component’s efforts. That is to say, in some way, two of the components would have influenced an outcome that would be altogether different in kind (not just in size) to their individual efforts. Five potential systemic changes were identified. In a review of that same question at the close of the fieldwork in November 2016, it was determined that there would not likely be any such portfolio-level change. Rather, a far more likely impact would be that two or more components would contribute to a larger impact than what each achieved alone, but that those impacts were not different in kind. A good example would be helping private seed suppliers shift their competitive focus away from serving the Malawian government’s input subsidy programme and invest in distribution systems that allow for cash sales directly to farmers, or the greater adoption of pest and disease controlling inputs by smallholder farmers.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Key actions</w:t>
      </w:r>
    </w:p>
    <w:p w:rsidR="00EC39A4" w:rsidRDefault="00EC39A4" w:rsidP="00EC39A4">
      <w:pPr>
        <w:autoSpaceDE w:val="0"/>
        <w:autoSpaceDN w:val="0"/>
        <w:adjustRightInd w:val="0"/>
        <w:spacing w:after="0" w:line="240" w:lineRule="auto"/>
        <w:ind w:left="360"/>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All key actions are covered in the Summary Sheet’s recommendations for the year.</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Has the logframe been updated since the last review?</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External Review team, in collaboration with DFID Malawi and component staff, updated the log frame in 2015/16. However, DFID Malawi subsequently extended MOST’s period of performance (with a budget increase) for an additional year, allowing that component the opportunity to revise its logframe. In addition, DFID Malawi’s support for BIF’s work in Malawi closes (by design) in March 2017 – although the component would continue in Malawi with central funding from DFID. Thirdly, DFID Malawi extended MICF’s period of performance (with </w:t>
      </w:r>
      <w:r>
        <w:rPr>
          <w:rFonts w:ascii="Arial" w:hAnsi="Arial" w:cs="Arial"/>
          <w:lang/>
        </w:rPr>
        <w:lastRenderedPageBreak/>
        <w:t xml:space="preserve">no budget increase) through to 2019, affording that component an opportunity to complete its work despite energy and macroeconomic setbacks. As such, the portfolio-level logframe was revised again with updated targets for BIF, MOST, and MICF.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C: DETAILED OUTPUT SCORING</w:t>
      </w:r>
      <w:r>
        <w:rPr>
          <w:rFonts w:ascii="Arial" w:hAnsi="Arial" w:cs="Arial"/>
          <w:highlight w:val="white"/>
          <w:lang/>
        </w:rPr>
        <w:t xml:space="preserve"> </w:t>
      </w: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216" w:type="dxa"/>
        <w:tblLayout w:type="fixed"/>
        <w:tblLook w:val="0000"/>
      </w:tblPr>
      <w:tblGrid>
        <w:gridCol w:w="1680"/>
        <w:gridCol w:w="1513"/>
        <w:gridCol w:w="1979"/>
        <w:gridCol w:w="3054"/>
        <w:gridCol w:w="2086"/>
      </w:tblGrid>
      <w:tr w:rsidR="00EC39A4">
        <w:tblPrEx>
          <w:tblCellMar>
            <w:top w:w="0" w:type="dxa"/>
            <w:bottom w:w="0" w:type="dxa"/>
          </w:tblCellMar>
        </w:tblPrEx>
        <w:trPr>
          <w:trHeight w:val="405"/>
        </w:trPr>
        <w:tc>
          <w:tcPr>
            <w:tcW w:w="168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Title </w:t>
            </w:r>
          </w:p>
        </w:tc>
        <w:tc>
          <w:tcPr>
            <w:tcW w:w="8632" w:type="dxa"/>
            <w:gridSpan w:val="4"/>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Output 1: Business Enabling Environment supported through an improved policy environment and more effective public sector institutions</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Output number per LF</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1</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Score </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i/>
                <w:iCs/>
                <w:color w:val="FF0000"/>
                <w:lang/>
              </w:rPr>
              <w:t>A</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i/>
                <w:iCs/>
                <w:color w:val="FF0000"/>
                <w:lang/>
              </w:rPr>
              <w:t>Major</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Impact weighting (%):</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25</w:t>
            </w:r>
          </w:p>
        </w:tc>
      </w:tr>
      <w:tr w:rsidR="00EC39A4">
        <w:tblPrEx>
          <w:tblCellMar>
            <w:top w:w="0" w:type="dxa"/>
            <w:bottom w:w="0" w:type="dxa"/>
          </w:tblCellMar>
        </w:tblPrEx>
        <w:trPr>
          <w:trHeight w:val="1"/>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revised since last AR? </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Y</w:t>
            </w:r>
          </w:p>
          <w:p w:rsidR="00EC39A4" w:rsidRDefault="00EC39A4">
            <w:pPr>
              <w:autoSpaceDE w:val="0"/>
              <w:autoSpaceDN w:val="0"/>
              <w:adjustRightInd w:val="0"/>
              <w:spacing w:after="0" w:line="240" w:lineRule="auto"/>
              <w:jc w:val="both"/>
              <w:rPr>
                <w:rFonts w:ascii="Calibri" w:hAnsi="Calibri" w:cs="Calibri"/>
                <w:lang/>
              </w:rPr>
            </w:pPr>
          </w:p>
        </w:tc>
        <w:tc>
          <w:tcPr>
            <w:tcW w:w="305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Impact weighting % revised since last AR? </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Y</w:t>
            </w:r>
          </w:p>
          <w:p w:rsidR="00EC39A4" w:rsidRDefault="00EC39A4">
            <w:pPr>
              <w:autoSpaceDE w:val="0"/>
              <w:autoSpaceDN w:val="0"/>
              <w:adjustRightInd w:val="0"/>
              <w:spacing w:after="0" w:line="240" w:lineRule="auto"/>
              <w:jc w:val="both"/>
              <w:rPr>
                <w:rFonts w:ascii="Calibri" w:hAnsi="Calibri" w:cs="Calibri"/>
                <w:lang/>
              </w:rPr>
            </w:pPr>
          </w:p>
        </w:tc>
      </w:tr>
    </w:tbl>
    <w:p w:rsidR="00EC39A4" w:rsidRDefault="00EC39A4" w:rsidP="00EC39A4">
      <w:pPr>
        <w:autoSpaceDE w:val="0"/>
        <w:autoSpaceDN w:val="0"/>
        <w:adjustRightInd w:val="0"/>
        <w:spacing w:after="0" w:line="240" w:lineRule="auto"/>
        <w:jc w:val="both"/>
        <w:rPr>
          <w:rFonts w:ascii="Calibri" w:hAnsi="Calibri" w:cs="Calibri"/>
          <w:lang/>
        </w:rPr>
      </w:pPr>
    </w:p>
    <w:tbl>
      <w:tblPr>
        <w:tblW w:w="0" w:type="auto"/>
        <w:jc w:val="center"/>
        <w:tblLayout w:type="fixed"/>
        <w:tblLook w:val="0000"/>
      </w:tblPr>
      <w:tblGrid>
        <w:gridCol w:w="3936"/>
        <w:gridCol w:w="2409"/>
        <w:gridCol w:w="4037"/>
      </w:tblGrid>
      <w:tr w:rsidR="00EC39A4">
        <w:tblPrEx>
          <w:tblCellMar>
            <w:top w:w="0" w:type="dxa"/>
            <w:bottom w:w="0" w:type="dxa"/>
          </w:tblCellMar>
        </w:tblPrEx>
        <w:trPr>
          <w:trHeight w:val="273"/>
          <w:jc w:val="center"/>
        </w:trPr>
        <w:tc>
          <w:tcPr>
            <w:tcW w:w="393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Indicator(s)</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Milestones</w:t>
            </w:r>
          </w:p>
        </w:tc>
        <w:tc>
          <w:tcPr>
            <w:tcW w:w="403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Progress </w:t>
            </w:r>
          </w:p>
        </w:tc>
      </w:tr>
      <w:tr w:rsidR="00EC39A4">
        <w:tblPrEx>
          <w:tblCellMar>
            <w:top w:w="0" w:type="dxa"/>
            <w:bottom w:w="0" w:type="dxa"/>
          </w:tblCellMar>
        </w:tblPrEx>
        <w:trPr>
          <w:trHeight w:val="1"/>
          <w:jc w:val="center"/>
        </w:trPr>
        <w:tc>
          <w:tcPr>
            <w:tcW w:w="393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Policy and institutional reform processes advanced</w:t>
            </w:r>
            <w:r>
              <w:rPr>
                <w:rFonts w:ascii="Arial" w:hAnsi="Arial" w:cs="Arial"/>
                <w:color w:val="1F497D"/>
                <w:lang/>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5</w:t>
            </w:r>
          </w:p>
        </w:tc>
        <w:tc>
          <w:tcPr>
            <w:tcW w:w="403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5</w:t>
            </w:r>
          </w:p>
        </w:tc>
      </w:tr>
      <w:tr w:rsidR="00EC39A4">
        <w:tblPrEx>
          <w:tblCellMar>
            <w:top w:w="0" w:type="dxa"/>
            <w:bottom w:w="0" w:type="dxa"/>
          </w:tblCellMar>
        </w:tblPrEx>
        <w:trPr>
          <w:trHeight w:val="1"/>
          <w:jc w:val="center"/>
        </w:trPr>
        <w:tc>
          <w:tcPr>
            <w:tcW w:w="393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Percentage of policy and institutional reform processes completed</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2</w:t>
            </w:r>
          </w:p>
        </w:tc>
        <w:tc>
          <w:tcPr>
            <w:tcW w:w="403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2</w:t>
            </w: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Key Points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Due to the slow pace of change among BEEP’s government counterparts, in 2015 DFID undertook a review of the drivers of political economy in Malawi, with the support of the review team. The review resulted in a decision to cease providing technical support to build ministry capacity, focusing instead on specific initiatives, most of which are of relevance to the other components in the portfolio. In the year under review, these included:</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 xml:space="preserve">Amendments to the Investment and Export Promotion Act – the revised Act has already been submitted to the Ministry of Justice for vetting. It is however being recalled to incorporate some relevant provisions from the Land Act passed in July 2016, specifically on the role of the Malawi Investment and Trade Centre in the ownership of land for investments. DFID supported three stakeholder consultations for this purpose inviting participants from the private sector, other government ministries and nongovernmental organisations in the northern, southern, and central regions. DFID will continue to use it’s unique policy influencing position to ensure that the revised Act is presented to Parliament in 2017. </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 xml:space="preserve">Review of the Control of Goods Act – The review was undertaken for the Ministry of Industry and Trade with DFID support. It put forward a number of recommendations based on an assessment of the key issues with the Act. The </w:t>
      </w:r>
      <w:r>
        <w:rPr>
          <w:rFonts w:ascii="Arial" w:hAnsi="Arial" w:cs="Arial"/>
          <w:lang/>
        </w:rPr>
        <w:lastRenderedPageBreak/>
        <w:t>Ministry then accepted these results and committed to utilising the findings. Finalisation of the Act is still underway; it is currently awaiting clearance by the Ministry of Justice and, a presentation before the Parliament is expected in June 2017. DFID will continue to work with other development partners to monitor and influence the pace of this process.</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 xml:space="preserve">Support to the Malawi Extractive Industries Transparency Initiative (MWEITI), through a co-financing arrangement with German Development Agency GIZ – the progress made by the initiative during the reporting period was limited by the delays in concluding the Financial Agreement with the MWEITI Secretariat at the Ministry of Finance, Economic Planning and Development as well as in hiring secretariat staff. Achievements following these preliminary works include the establishment of the Extractive Industries Transparency Initiative (EITI) Secretariat, procurement of office equipment for new Secretariat staff, completion and endorsement of the Annual Activity report for MWEITI 2015/2016, utilisation of regular multi-stakeholder group meetings involving the government, private sector, and civil society in steering the EITI agenda, and the development of the Terms of Reference for the Independent Administrator.  </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 xml:space="preserve">Support to the World Bank Country Economic Memorandum (CEM) - making a contribution to the research underpinning the forthcoming CEM, as an input into discussions on Malawi’s future economic development. The World Bank has thus far produced eight technical studies that were envisaged to inform the content of the CEM. The studies cover areas such as agriculture, growth diagnostics, private sector and competitiveness, institutional reform, interest rates, job creation, trade, production, and structural transformation. It is expected that the findings from these individual studies will feed into a consolidated final report that will put forward actionable policy recommendations. The report will undergo a rigorous peer review process before being disseminated to various stakeholders in Malawi. The CEM will also inform DFID Malawi’s future work on economic development. </w:t>
      </w:r>
    </w:p>
    <w:p w:rsidR="00EC39A4" w:rsidRDefault="00EC39A4" w:rsidP="00EC39A4">
      <w:pPr>
        <w:autoSpaceDE w:val="0"/>
        <w:autoSpaceDN w:val="0"/>
        <w:adjustRightInd w:val="0"/>
        <w:spacing w:after="0" w:line="240" w:lineRule="auto"/>
        <w:ind w:left="720"/>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Summary of responses to issues raised in previous annual reviews (where relevant)  </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Finalise a logframe – the new logframe for BEEP was finalised in 2016, with the support of the review team.</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 xml:space="preserve">In the previous year, DFID had been discussing to incorporate BEEP related activities into a broader programme on governance but this is no longer possible. A recommendation on how to move with the programme is provided below.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Recommendations</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Given the scaling back of the BEEP interventions and only working on those issues where there seems to be commitment or buy-in, DFID Malawi should continue to work with development partners to influence areas where there is already some momentum (e.g. the Control of Goods Act). Other areas with potential transformational impact and a critical mass of support by other stakeholders (e.g. maize market reforms) should be explored. The balance on the budget could be transferred to a programme component with potential to deliver additional results.</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autoSpaceDE w:val="0"/>
        <w:autoSpaceDN w:val="0"/>
        <w:adjustRightInd w:val="0"/>
        <w:spacing w:after="0" w:line="240" w:lineRule="auto"/>
        <w:ind w:left="720"/>
        <w:jc w:val="both"/>
        <w:rPr>
          <w:rFonts w:ascii="Calibri" w:hAnsi="Calibri" w:cs="Calibri"/>
          <w:lang/>
        </w:rPr>
      </w:pPr>
    </w:p>
    <w:tbl>
      <w:tblPr>
        <w:tblW w:w="0" w:type="auto"/>
        <w:tblInd w:w="216" w:type="dxa"/>
        <w:tblLayout w:type="fixed"/>
        <w:tblLook w:val="0000"/>
      </w:tblPr>
      <w:tblGrid>
        <w:gridCol w:w="1679"/>
        <w:gridCol w:w="1514"/>
        <w:gridCol w:w="1977"/>
        <w:gridCol w:w="3055"/>
        <w:gridCol w:w="2087"/>
      </w:tblGrid>
      <w:tr w:rsidR="00EC39A4">
        <w:tblPrEx>
          <w:tblCellMar>
            <w:top w:w="0" w:type="dxa"/>
            <w:bottom w:w="0" w:type="dxa"/>
          </w:tblCellMar>
        </w:tblPrEx>
        <w:trPr>
          <w:trHeight w:val="405"/>
        </w:trPr>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Title </w:t>
            </w:r>
          </w:p>
        </w:tc>
        <w:tc>
          <w:tcPr>
            <w:tcW w:w="8633" w:type="dxa"/>
            <w:gridSpan w:val="4"/>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Output 2: Businesses supported through the Malawi Oilseed Sector Transformation Programme innovate in a way that benefits the poor</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Output number per LF</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2</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Score </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i/>
                <w:iCs/>
                <w:color w:val="FF0000"/>
                <w:lang/>
              </w:rPr>
              <w:t>A+</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i/>
                <w:iCs/>
                <w:color w:val="FF0000"/>
                <w:lang/>
              </w:rPr>
              <w:t>Moderate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Impact weighting (%):</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37.5%</w:t>
            </w:r>
          </w:p>
        </w:tc>
      </w:tr>
      <w:tr w:rsidR="00EC39A4">
        <w:tblPrEx>
          <w:tblCellMar>
            <w:top w:w="0" w:type="dxa"/>
            <w:bottom w:w="0" w:type="dxa"/>
          </w:tblCellMar>
        </w:tblPrEx>
        <w:trPr>
          <w:trHeight w:val="1"/>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revised since last AR?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N</w:t>
            </w:r>
          </w:p>
          <w:p w:rsidR="00EC39A4" w:rsidRDefault="00EC39A4">
            <w:pPr>
              <w:autoSpaceDE w:val="0"/>
              <w:autoSpaceDN w:val="0"/>
              <w:adjustRightInd w:val="0"/>
              <w:spacing w:after="0" w:line="240" w:lineRule="auto"/>
              <w:jc w:val="both"/>
              <w:rPr>
                <w:rFonts w:ascii="Calibri" w:hAnsi="Calibri" w:cs="Calibri"/>
                <w:lang/>
              </w:rPr>
            </w:pPr>
          </w:p>
        </w:tc>
        <w:tc>
          <w:tcPr>
            <w:tcW w:w="305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Impact weighting % revised since last AR? </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N</w:t>
            </w:r>
          </w:p>
          <w:p w:rsidR="00EC39A4" w:rsidRDefault="00EC39A4">
            <w:pPr>
              <w:autoSpaceDE w:val="0"/>
              <w:autoSpaceDN w:val="0"/>
              <w:adjustRightInd w:val="0"/>
              <w:spacing w:after="0" w:line="240" w:lineRule="auto"/>
              <w:jc w:val="both"/>
              <w:rPr>
                <w:rFonts w:ascii="Calibri" w:hAnsi="Calibri" w:cs="Calibri"/>
                <w:lang/>
              </w:rPr>
            </w:pP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108" w:type="dxa"/>
        <w:tblLayout w:type="fixed"/>
        <w:tblLook w:val="0000"/>
      </w:tblPr>
      <w:tblGrid>
        <w:gridCol w:w="7308"/>
        <w:gridCol w:w="1440"/>
        <w:gridCol w:w="1634"/>
      </w:tblGrid>
      <w:tr w:rsidR="00EC39A4">
        <w:tblPrEx>
          <w:tblCellMar>
            <w:top w:w="0" w:type="dxa"/>
            <w:bottom w:w="0" w:type="dxa"/>
          </w:tblCellMar>
        </w:tblPrEx>
        <w:trPr>
          <w:trHeight w:val="273"/>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Indicator(s)</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Milestones</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Progress </w:t>
            </w:r>
          </w:p>
        </w:tc>
      </w:tr>
      <w:tr w:rsidR="00EC39A4">
        <w:tblPrEx>
          <w:tblCellMar>
            <w:top w:w="0" w:type="dxa"/>
            <w:bottom w:w="0" w:type="dxa"/>
          </w:tblCellMar>
        </w:tblPrEx>
        <w:trPr>
          <w:trHeight w:val="1"/>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Number of market system actors that invest in pro-poor innovations that the programme helps to pilot. (Malawi Oilseed Sector Transformation Programme sub log frame Output Indicator 1.1)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14</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16</w:t>
            </w:r>
          </w:p>
        </w:tc>
      </w:tr>
      <w:tr w:rsidR="00EC39A4">
        <w:tblPrEx>
          <w:tblCellMar>
            <w:top w:w="0" w:type="dxa"/>
            <w:bottom w:w="0" w:type="dxa"/>
          </w:tblCellMar>
        </w:tblPrEx>
        <w:trPr>
          <w:trHeight w:val="1"/>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Number of regulatory changes, policy reforms or Government practice changes to better support pro-poor growth ( Malawi Oilseed Sector Transformation Programme sub log frame Output Indicator 1.2)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5</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5</w:t>
            </w:r>
          </w:p>
        </w:tc>
      </w:tr>
    </w:tbl>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Key Points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programme continues to work closely with a large number of private sector partners across its focal market systems. As of October 30, 2016, </w:t>
      </w:r>
      <w:r>
        <w:rPr>
          <w:rFonts w:ascii="Arial" w:hAnsi="Arial" w:cs="Arial"/>
          <w:color w:val="000000"/>
          <w:lang/>
        </w:rPr>
        <w:t>Malawi Oilseed Sector Transformation Programme (</w:t>
      </w:r>
      <w:r>
        <w:rPr>
          <w:rFonts w:ascii="Arial" w:hAnsi="Arial" w:cs="Arial"/>
          <w:lang/>
        </w:rPr>
        <w:t>MOST) had exceeded its milestone for number of actors investing in pro-poor innovations supported by the programme, reporting a total of 16 actors, against a target of 14 (or 114 percent of the target). Moreover, progress for the year continued despite the year’s significant climactic and business environment challenges – including a steep rain deficit and daily national power outages. On top of new adopters, with MOST’s costed extension to March 2018 and the addition of access to finance and sesame activities, the programme was able to scale new activities up quickly by capitalising on existing relationships, most notably with Peacock Seeds and Afrisian. In addition, MOST continued to support pro-poor growth through regulatory reforms and policy advocacy by helping scuttle both an export ban and a drive to mandate a single export channel. Both of those initiatives were seen by the majority of actors in the oilseed industry as harming opportunities for growth.</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However, the previous Annual Review warned that “although [MOST] has many operational partnerships, none have yet shown very significant uptake. Indeed, the programme’s work is only now starting to move beyond pilots.” Unfortunately, the 2015/2016 agricultural season’s near-complete rain failure challenged the component to expand its depth and thereby demonstrate strong gains in farmer incomes. In some cases, such as that of cotton, basic uptake predictions were frustrated as farmers chose not to purchase seed in light of the failed rains. So, while the previous Annual Review argued that “in the coming year DFID should expect to see significant uptake of products and services supported by the programme,” this was not the case for the period under review. Instead, building on its large number of partnerships and tailored interventions, including the incentive-based contracting model MOST hopes will better align incentives between seed sellers, farmers and commodity buyers, the component estimates a huge increase in beneficiary adoption and impact following the 2016/2017 growing season. The data for this increase in outcomes and impacts will be available as of the completion of MOST’s third operational year, in March 2017.</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Summary of responses to issues raised in previous annual reviews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Progress has been made in addressing issues identified in the previous annual review.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Whilst MOST’s new expatriate Monitoring and Results Measurement (MRM) Advisor had yet to arrive in-country as of the previous review, he spent most of the year under review in attendance and providing strong monitoring and evaluation support to the programme. Twinned with Malawian Monitoring and Results Measurement  officers, and benefiting from the support of Kadale Consultants, MOST is satisfactorily staffed with the relevant results expertise.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Another issue raised in the previous annual review concerned a perceived need to increase MOST’s future targets, considering previous over-achievements. Programme targets were revised twice: in June 2016 when output and outcome targets were adjusted upwards and later in August following the need for a cost extension currently awaiting sign off.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Recommendations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All things considered, the component is progressing well and should hit a major proving point following the upcoming agricultural season. However, it does have a handful of weak interventions, most notably its work in the sunflower market system where it has achieved “great outreach but a very low income change,” in the words of MOST team members. At this stage, the programme should consider eliminating further support to its poorer performing activities, allowing it to focus on its (still considerably large) range of more successful interventions.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216" w:type="dxa"/>
        <w:tblLayout w:type="fixed"/>
        <w:tblLook w:val="0000"/>
      </w:tblPr>
      <w:tblGrid>
        <w:gridCol w:w="1679"/>
        <w:gridCol w:w="1514"/>
        <w:gridCol w:w="1977"/>
        <w:gridCol w:w="3055"/>
        <w:gridCol w:w="2087"/>
      </w:tblGrid>
      <w:tr w:rsidR="00EC39A4">
        <w:tblPrEx>
          <w:tblCellMar>
            <w:top w:w="0" w:type="dxa"/>
            <w:bottom w:w="0" w:type="dxa"/>
          </w:tblCellMar>
        </w:tblPrEx>
        <w:trPr>
          <w:trHeight w:val="405"/>
        </w:trPr>
        <w:tc>
          <w:tcPr>
            <w:tcW w:w="16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Title </w:t>
            </w:r>
          </w:p>
        </w:tc>
        <w:tc>
          <w:tcPr>
            <w:tcW w:w="8633" w:type="dxa"/>
            <w:gridSpan w:val="4"/>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Output 3: Businesses supported through The Business Innovation Facility innovate in a way that benefits the poor</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Output number per LF</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3</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Score </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i/>
                <w:iCs/>
                <w:color w:val="FF0000"/>
                <w:lang/>
              </w:rPr>
              <w:t>A+</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i/>
                <w:iCs/>
                <w:color w:val="FF0000"/>
                <w:lang/>
              </w:rPr>
              <w:t>Moderate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Impact weighting (%):</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6.25%</w:t>
            </w:r>
          </w:p>
        </w:tc>
      </w:tr>
      <w:tr w:rsidR="00EC39A4">
        <w:tblPrEx>
          <w:tblCellMar>
            <w:top w:w="0" w:type="dxa"/>
            <w:bottom w:w="0" w:type="dxa"/>
          </w:tblCellMar>
        </w:tblPrEx>
        <w:trPr>
          <w:trHeight w:val="1"/>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revised since last AR? </w:t>
            </w:r>
          </w:p>
        </w:tc>
        <w:tc>
          <w:tcPr>
            <w:tcW w:w="197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N</w:t>
            </w:r>
          </w:p>
          <w:p w:rsidR="00EC39A4" w:rsidRDefault="00EC39A4">
            <w:pPr>
              <w:autoSpaceDE w:val="0"/>
              <w:autoSpaceDN w:val="0"/>
              <w:adjustRightInd w:val="0"/>
              <w:spacing w:after="0" w:line="240" w:lineRule="auto"/>
              <w:jc w:val="both"/>
              <w:rPr>
                <w:rFonts w:ascii="Calibri" w:hAnsi="Calibri" w:cs="Calibri"/>
                <w:lang/>
              </w:rPr>
            </w:pPr>
          </w:p>
        </w:tc>
        <w:tc>
          <w:tcPr>
            <w:tcW w:w="3055"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Impact weighting % revised since last AR? </w:t>
            </w:r>
          </w:p>
        </w:tc>
        <w:tc>
          <w:tcPr>
            <w:tcW w:w="2087"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Y</w:t>
            </w:r>
          </w:p>
          <w:p w:rsidR="00EC39A4" w:rsidRDefault="00EC39A4">
            <w:pPr>
              <w:autoSpaceDE w:val="0"/>
              <w:autoSpaceDN w:val="0"/>
              <w:adjustRightInd w:val="0"/>
              <w:spacing w:after="0" w:line="240" w:lineRule="auto"/>
              <w:jc w:val="both"/>
              <w:rPr>
                <w:rFonts w:ascii="Calibri" w:hAnsi="Calibri" w:cs="Calibri"/>
                <w:lang/>
              </w:rPr>
            </w:pPr>
          </w:p>
        </w:tc>
      </w:tr>
    </w:tbl>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108" w:type="dxa"/>
        <w:tblLayout w:type="fixed"/>
        <w:tblLook w:val="0000"/>
      </w:tblPr>
      <w:tblGrid>
        <w:gridCol w:w="7308"/>
        <w:gridCol w:w="1440"/>
        <w:gridCol w:w="1634"/>
      </w:tblGrid>
      <w:tr w:rsidR="00EC39A4">
        <w:tblPrEx>
          <w:tblCellMar>
            <w:top w:w="0" w:type="dxa"/>
            <w:bottom w:w="0" w:type="dxa"/>
          </w:tblCellMar>
        </w:tblPrEx>
        <w:trPr>
          <w:trHeight w:val="273"/>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Indicator(s)</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Milestones</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Progress </w:t>
            </w:r>
          </w:p>
        </w:tc>
      </w:tr>
      <w:tr w:rsidR="00EC39A4">
        <w:tblPrEx>
          <w:tblCellMar>
            <w:top w:w="0" w:type="dxa"/>
            <w:bottom w:w="0" w:type="dxa"/>
          </w:tblCellMar>
        </w:tblPrEx>
        <w:trPr>
          <w:trHeight w:val="1"/>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Number of first mover market players adopting innovations who have received direct support from The Business Innovation Facility (Business Innovation Facility sub log frame Output Indicator 2.1)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10</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11</w:t>
            </w:r>
          </w:p>
        </w:tc>
      </w:tr>
      <w:tr w:rsidR="00EC39A4">
        <w:tblPrEx>
          <w:tblCellMar>
            <w:top w:w="0" w:type="dxa"/>
            <w:bottom w:w="0" w:type="dxa"/>
          </w:tblCellMar>
        </w:tblPrEx>
        <w:trPr>
          <w:trHeight w:val="1"/>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Number of first mover market players continuing independent activity around innovations; investing further in the innovation, tailoring and/or embedding the innovation in operational norms ((Business Innovation Facility sub log frame  Output Indicator 3.1)</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1</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2</w:t>
            </w:r>
          </w:p>
        </w:tc>
      </w:tr>
    </w:tbl>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Key Points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Business Innovation Facility (BIF) performed very well in the year under review, marking a sharp change from the previous year. Previously, staff turnover, structural understaffing, and other issues had contributed to a slow pace of work and a disappointing output performance. This year the component surpassed both its portfolio-level output indicators, demonstrating a significant increase in the pace of work as shown principally by the number of market players adopting innovations. Whilst BIF must still work to catch up after its initial delay (it has yet to demonstrate an income increase among beneficiaries), at the least it has addressed the shortfalls identified previously and is now positioned to move forward quickly. In other words, this year the programme built the platform for interventions – partnerships with private sector actors in Malawi – as well as the staff complement that was missing previously.</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lastRenderedPageBreak/>
        <w:t>The programme’s 11 cases of partners adopting innovations are spread across its three intervention areas – pigeon pea, rice and pico-solar products. BIF reports a total of 22 partnerships ongoing, with some showing progress while others are stymied for a variety of reasons. But this is the normal state of affairs with a market systems programme and should be expected for BIF as well. Not all partnerships prove fruitful, and BIF is demonstrating strong, contextually rich learning from its struggling partnerships as demonstrated by one staff member’s assertion that “the mainstream players we wanted to start with aren’t the ones we ended up working with.”</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Meanwhile, some of its more successful partnerships are moving forward quickly. For example, Peacock seeds (which receives support from BIF to sell pigeon pea and rice seed, as well as support from MOST to sell groundnut and sesame seed) managed to increase its commercial sales to farmers to almost 50 percent of its total sales in the previous season, up from only 20 percent in the season before then. This is a significant achievement and speaks to the sustainability of the innovation (direct cash sales). Prior to support from BIF (and MOST), almost all Peacock Seed sales were directly to the Malawian government’s Farm Input Subsidy Program, which created sustainability and market distortion issues.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Digging into BIF’s second output indicator – partners adapting innovations – the component also exceeded its target by registering two cases of adaptation. In one of these cases, diversified rice miller Fadamz used its own resources to recruit a South African rice operations manager to help it scale up rice milling after BIF “opened our eyes” to the possibility of expanding their domestic purchase and milling operation. In the other case, Farmers Organization Ltd., the maker of the Nyonga pack, reduced its pack size for treating pigeon peas to make it more affordable and relevant for farmers with extremely small land sizes upon BIF’s recommendation. It later did the same for pack sizes with other crops, which it sees as an entry point for getting small-scale farmers “to see the value of the pack.” And, generally, Farmers Organization Ltd. expressed strong satisfaction with BIF’s support, saying that BIF was “prepared to engage with the private sector” in a productive manner.</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Summary of responses to issues raised in previous annual reviews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previous Annual Review identified several reasons for BIF’s underperformance at that time, a few which required the programme’s attention in the current year under review. These included a broad under-investment in full-time staff and an overly lengthy approval process for activities that required sign-off by PricewaterHouseCoopers staff who were not involved with the programme. The External Review team is satisfied that the programme has addressed the concerns. The current team is sufficient in number and dedicated level of effort to manage BIF’s multiple partnerships. Meanwhile, the approval process for activities appears to have been streamlined. More generally, the component demonstrates a level of activity and experimentation which was not evident previously.</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On a related note, a new Team Leader brings a fresh energy and market systems acumen to the programme, as does more direct engagement by Imani leadership. Meanwhile, Kadale Consultants continues to provide high-quality support to the programme as well as offering opportunities for BIF to complement the work MOST is doing, as it occupies a key strategic role on that programme as well. The success of partnerships with Farmers Organization Ltd. and Peacock speak to BIF’s ability to work in a complementary fashion with MOST.</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Recommendations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Principally, BIF has used the year under review to build its partnership platform and now faces the challenge of showing that the platform can produce results. This is quite similar to the </w:t>
      </w:r>
      <w:r>
        <w:rPr>
          <w:rFonts w:ascii="Arial" w:hAnsi="Arial" w:cs="Arial"/>
          <w:lang/>
        </w:rPr>
        <w:lastRenderedPageBreak/>
        <w:t>challenge facing MOST. It will be incumbent on BIF to show that it can use the 2016/2017 cultivation season to demonstrate broad uptake of its innovations by small-scale farmers and pico-solar products consumers.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Two technical points: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 xml:space="preserve">If progress in growing the pico-solar products market is largely to do with the appeal of “grey market” products, as the BIF team asserted during its meeting with the External Review team, the programme should seek to support actors in this market given that this where the expansion is. This should however be with a view to gradually improve grey market products. </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While Fadamz’s investment and other progress in the rice market are promising, the overall challenge of making Malawian rice competitive is nonetheless quite strong. This seems principally to be a productivity issue, owing largely to the fact that the vast majority of Malawian rice is produced without irrigation. Lacking attention to irrigation, the review team recommends that BIF continuously re-evaluate its support to Malawi’s rice market system to assess whether it can actually be made regionally competitive.</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216" w:type="dxa"/>
        <w:tblLayout w:type="fixed"/>
        <w:tblLook w:val="0000"/>
      </w:tblPr>
      <w:tblGrid>
        <w:gridCol w:w="1680"/>
        <w:gridCol w:w="1513"/>
        <w:gridCol w:w="1979"/>
        <w:gridCol w:w="3054"/>
        <w:gridCol w:w="2086"/>
      </w:tblGrid>
      <w:tr w:rsidR="00EC39A4">
        <w:tblPrEx>
          <w:tblCellMar>
            <w:top w:w="0" w:type="dxa"/>
            <w:bottom w:w="0" w:type="dxa"/>
          </w:tblCellMar>
        </w:tblPrEx>
        <w:trPr>
          <w:trHeight w:val="405"/>
        </w:trPr>
        <w:tc>
          <w:tcPr>
            <w:tcW w:w="168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p>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Title </w:t>
            </w:r>
          </w:p>
        </w:tc>
        <w:tc>
          <w:tcPr>
            <w:tcW w:w="8632" w:type="dxa"/>
            <w:gridSpan w:val="4"/>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Output 4: Businesses supported through the Malawi Innovation Challenge Fund innovate in a way that benefits the poor</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Output number per LF</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4</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Output Score </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i/>
                <w:iCs/>
                <w:color w:val="FF0000"/>
                <w:lang/>
              </w:rPr>
              <w:t>B</w:t>
            </w:r>
          </w:p>
        </w:tc>
      </w:tr>
      <w:tr w:rsidR="00EC39A4">
        <w:tblPrEx>
          <w:tblCellMar>
            <w:top w:w="0" w:type="dxa"/>
            <w:bottom w:w="0" w:type="dxa"/>
          </w:tblCellMar>
        </w:tblPrEx>
        <w:trPr>
          <w:trHeight w:val="405"/>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i/>
                <w:iCs/>
                <w:color w:val="FF0000"/>
                <w:lang/>
              </w:rPr>
              <w:t>Moderate</w:t>
            </w:r>
          </w:p>
        </w:tc>
        <w:tc>
          <w:tcPr>
            <w:tcW w:w="305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Impact weighting (%):</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31.25%</w:t>
            </w:r>
          </w:p>
        </w:tc>
      </w:tr>
      <w:tr w:rsidR="00EC39A4">
        <w:tblPrEx>
          <w:tblCellMar>
            <w:top w:w="0" w:type="dxa"/>
            <w:bottom w:w="0" w:type="dxa"/>
          </w:tblCellMar>
        </w:tblPrEx>
        <w:trPr>
          <w:trHeight w:val="1"/>
        </w:trPr>
        <w:tc>
          <w:tcPr>
            <w:tcW w:w="3193"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Risk revised since last AR? </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N</w:t>
            </w:r>
          </w:p>
          <w:p w:rsidR="00EC39A4" w:rsidRDefault="00EC39A4">
            <w:pPr>
              <w:autoSpaceDE w:val="0"/>
              <w:autoSpaceDN w:val="0"/>
              <w:adjustRightInd w:val="0"/>
              <w:spacing w:after="0" w:line="240" w:lineRule="auto"/>
              <w:jc w:val="both"/>
              <w:rPr>
                <w:rFonts w:ascii="Calibri" w:hAnsi="Calibri" w:cs="Calibri"/>
                <w:lang/>
              </w:rPr>
            </w:pPr>
          </w:p>
        </w:tc>
        <w:tc>
          <w:tcPr>
            <w:tcW w:w="305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 xml:space="preserve">Impact weighting % revised since last AR? </w:t>
            </w:r>
          </w:p>
        </w:tc>
        <w:tc>
          <w:tcPr>
            <w:tcW w:w="2086"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i/>
                <w:iCs/>
                <w:color w:val="FF0000"/>
                <w:lang/>
              </w:rPr>
            </w:pPr>
            <w:r>
              <w:rPr>
                <w:rFonts w:ascii="Arial" w:hAnsi="Arial" w:cs="Arial"/>
                <w:i/>
                <w:iCs/>
                <w:color w:val="FF0000"/>
                <w:lang/>
              </w:rPr>
              <w:t>Y</w:t>
            </w:r>
          </w:p>
          <w:p w:rsidR="00EC39A4" w:rsidRDefault="00EC39A4">
            <w:pPr>
              <w:autoSpaceDE w:val="0"/>
              <w:autoSpaceDN w:val="0"/>
              <w:adjustRightInd w:val="0"/>
              <w:spacing w:after="0" w:line="240" w:lineRule="auto"/>
              <w:jc w:val="both"/>
              <w:rPr>
                <w:rFonts w:ascii="Calibri" w:hAnsi="Calibri" w:cs="Calibri"/>
                <w:lang/>
              </w:rPr>
            </w:pPr>
          </w:p>
        </w:tc>
      </w:tr>
    </w:tbl>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108" w:type="dxa"/>
        <w:tblLayout w:type="fixed"/>
        <w:tblLook w:val="0000"/>
      </w:tblPr>
      <w:tblGrid>
        <w:gridCol w:w="7308"/>
        <w:gridCol w:w="1440"/>
        <w:gridCol w:w="1634"/>
      </w:tblGrid>
      <w:tr w:rsidR="00EC39A4">
        <w:tblPrEx>
          <w:tblCellMar>
            <w:top w:w="0" w:type="dxa"/>
            <w:bottom w:w="0" w:type="dxa"/>
          </w:tblCellMar>
        </w:tblPrEx>
        <w:trPr>
          <w:trHeight w:val="273"/>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Indicator(s)</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Milestones</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b/>
                <w:bCs/>
                <w:lang/>
              </w:rPr>
              <w:t xml:space="preserve">Progress </w:t>
            </w:r>
          </w:p>
        </w:tc>
      </w:tr>
      <w:tr w:rsidR="00EC39A4">
        <w:tblPrEx>
          <w:tblCellMar>
            <w:top w:w="0" w:type="dxa"/>
            <w:bottom w:w="0" w:type="dxa"/>
          </w:tblCellMar>
        </w:tblPrEx>
        <w:trPr>
          <w:trHeight w:val="1"/>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Demonstration Effect: Degree to which innovation is visible (High, Medium, Low categorisation)</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lang/>
              </w:rPr>
            </w:pPr>
            <w:r>
              <w:rPr>
                <w:rFonts w:ascii="Arial" w:hAnsi="Arial" w:cs="Arial"/>
                <w:lang/>
              </w:rPr>
              <w:t>30% high, 40% medium</w:t>
            </w:r>
          </w:p>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30% low</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Arial" w:hAnsi="Arial" w:cs="Arial"/>
                <w:lang/>
              </w:rPr>
            </w:pPr>
            <w:r>
              <w:rPr>
                <w:rFonts w:ascii="Arial" w:hAnsi="Arial" w:cs="Arial"/>
                <w:lang/>
              </w:rPr>
              <w:t>30% medium, 70% low</w:t>
            </w:r>
          </w:p>
          <w:p w:rsidR="00EC39A4" w:rsidRDefault="00EC39A4">
            <w:pPr>
              <w:autoSpaceDE w:val="0"/>
              <w:autoSpaceDN w:val="0"/>
              <w:adjustRightInd w:val="0"/>
              <w:spacing w:after="0" w:line="240" w:lineRule="auto"/>
              <w:jc w:val="both"/>
              <w:rPr>
                <w:rFonts w:ascii="Calibri" w:hAnsi="Calibri" w:cs="Calibri"/>
                <w:lang/>
              </w:rPr>
            </w:pPr>
          </w:p>
        </w:tc>
      </w:tr>
      <w:tr w:rsidR="00EC39A4">
        <w:tblPrEx>
          <w:tblCellMar>
            <w:top w:w="0" w:type="dxa"/>
            <w:bottom w:w="0" w:type="dxa"/>
          </w:tblCellMar>
        </w:tblPrEx>
        <w:trPr>
          <w:trHeight w:val="1"/>
        </w:trPr>
        <w:tc>
          <w:tcPr>
            <w:tcW w:w="7308"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color w:val="000000"/>
                <w:lang/>
              </w:rPr>
              <w:t>Commercial Viability Index: % of projects classified as progressing toward reaching viability</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30%</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lang/>
              </w:rPr>
              <w:t>30%</w:t>
            </w: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Key Points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2016 was a challenging year for </w:t>
      </w:r>
      <w:r>
        <w:rPr>
          <w:rFonts w:ascii="Arial" w:hAnsi="Arial" w:cs="Arial"/>
          <w:color w:val="000000"/>
          <w:lang/>
        </w:rPr>
        <w:t>Malawi Innovation Challenge Fund’s (MICF)</w:t>
      </w:r>
      <w:r>
        <w:rPr>
          <w:rFonts w:ascii="Arial" w:hAnsi="Arial" w:cs="Arial"/>
          <w:lang/>
        </w:rPr>
        <w:t xml:space="preserve">’s 10 grantees as an array of constraints slowed progress toward the achievement of benchmarks. The principle constraint MICF grantees faced was the nation’s power supply issue – with blackouts the majority of each day, agro processors faced steeply increased fuel costs (for running generators) as well as opportunity costs due to unexpected downtime. Another significant constraint, as with the other components, was the rain failure of the 2015/2016 agricultural season – this limited vital input supply. A third constraint that slowed progress for some grantees related to the Malawian government’s arbitrary import duty charges on agricultural machinery, applied by the Government of Malawi in response to its income deficit. Were it not for DFID’s provision of a no-cost extension from the end of 2016 through mid-2017, it is likely that these factors would have caused all (or almost all) of MICF’s grantees to miss around half of their performance benchmarks. The no-cost extension and the associated revisions in the </w:t>
      </w:r>
      <w:r>
        <w:rPr>
          <w:rFonts w:ascii="Arial" w:hAnsi="Arial" w:cs="Arial"/>
          <w:lang/>
        </w:rPr>
        <w:lastRenderedPageBreak/>
        <w:t>logframe are, in this sense, a saving grace. Should all go according to plan, MICF realistically expects to see its grantees achieving all benchmarks in the time remaining. However, at least two of the grantees were put on a closely monitored management plan by MICF, owing to the degree to which they were behind schedule.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output indicators captured here relate to the visibility of innovations supported by the Fund, as well as early indications that innovations will be commercially viable. The programme met expectations for the commercial viability indicator, with 3 of the 10 grantees (working in sunflower oil, information technology, and plastics) demonstrating that their model for providing the funded product or service was moving in the direction of being commercially viable. This was the same score as the previous year.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For demonstration effect, according to its three-tier scale (High, Medium and Low visibility), the programme fell short of its target. Only 3 of the 10 grantees (working in information technology, beef, and tea) were reported as Medium visibility, with broader evidence of the investment through a network of partner firms or in the market. This was the same score as the previous year. The Fund had projected that 30 percent of its grantees would achieve high visibility in the year under review, with another 40 percent achieving medium visibility and 30 percent being low visibility. These outputs should and will be independently verified during the 2018 review.</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Summary of responses to issues raised in previous annual reviews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previous review recommended that MICF be vigilant of grantee progress toward milestone completion in the coming year, considering that all grantees are expected to complete all milestones by the end of 2016. With the extension of the performance period of the current portfolio of grantees through through December 2019, that recommendation remains relevant for the reasons stated above. In addition, the MICF team has added two members to support the rigorous process of milestone verification. The review team is confident that MICF is supervising grantee progress sufficiently.</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Recommendations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MICF should not just closely stay abreast of the progress of each grantee as it moves into its final phase but should continue its extremely high pace of activity and ensure grantees meet agreed performamnce benchmarks within the remaining programme period.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D: VALUE FOR MONEY (VFM) &amp; FINANCIAL PERFORMANCE </w:t>
      </w:r>
      <w:r>
        <w:rPr>
          <w:rFonts w:ascii="Arial" w:hAnsi="Arial" w:cs="Arial"/>
          <w:highlight w:val="white"/>
          <w:lang/>
        </w:rPr>
        <w:t>(1 page)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Key cost drivers and performance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Consistent with the previous review, the key cost drivers for the portfolio continue to be fee rates for consultants and contractors alongside the number of input days that are required to undertake complex private sector development programmes such as this. MOST and BIF are both contractual arrangements, where contractees manage further contracts. BEEP is managed in-house and there was not much activity to scrutinise during the year under review. MICF grants to recipient businesses are the primary cost-driver of the programme. These funds deliver value for money (VFM) by leveraging private capital as receipient businesses must at least match the investment by MICF. While this is positive transactional VFM, the ultimate VFM is determined by measures of increased business sustainability to be measured at the project end. MICF is arranged by a Memorandum of Understanding with UNDP, which has contracted </w:t>
      </w:r>
      <w:r>
        <w:rPr>
          <w:rFonts w:ascii="Arial" w:hAnsi="Arial" w:cs="Arial"/>
          <w:lang/>
        </w:rPr>
        <w:lastRenderedPageBreak/>
        <w:t xml:space="preserve">the consultancy companies Nathan/Imani to be the Independent Fund Manager. UNDP overhead costs are set at 7%, and UNDP is covering all other administrative costs for the Fund.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VfM performance summary across PSD programmes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business case stated that value for money will be measured on an on-going basis, drawing on the log-frames for each of the programmes. The following three measures were to be monitored:</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508" w:hanging="360"/>
        <w:jc w:val="both"/>
        <w:rPr>
          <w:rFonts w:ascii="Arial" w:hAnsi="Arial" w:cs="Arial"/>
          <w:lang/>
        </w:rPr>
      </w:pPr>
      <w:r>
        <w:rPr>
          <w:rFonts w:ascii="Arial" w:hAnsi="Arial" w:cs="Arial"/>
          <w:lang/>
        </w:rPr>
        <w:t>Unit costs, particularly of consultancy and management charges</w:t>
      </w:r>
    </w:p>
    <w:p w:rsidR="00EC39A4" w:rsidRDefault="00EC39A4" w:rsidP="00EC39A4">
      <w:pPr>
        <w:numPr>
          <w:ilvl w:val="0"/>
          <w:numId w:val="1"/>
        </w:numPr>
        <w:autoSpaceDE w:val="0"/>
        <w:autoSpaceDN w:val="0"/>
        <w:adjustRightInd w:val="0"/>
        <w:spacing w:after="0" w:line="240" w:lineRule="auto"/>
        <w:ind w:left="1508" w:hanging="360"/>
        <w:jc w:val="both"/>
        <w:rPr>
          <w:rFonts w:ascii="Arial" w:hAnsi="Arial" w:cs="Arial"/>
          <w:lang/>
        </w:rPr>
      </w:pPr>
      <w:r>
        <w:rPr>
          <w:rFonts w:ascii="Arial" w:hAnsi="Arial" w:cs="Arial"/>
          <w:lang/>
        </w:rPr>
        <w:t>Volume of investments leveraged by commercial investors</w:t>
      </w:r>
    </w:p>
    <w:p w:rsidR="00EC39A4" w:rsidRDefault="00EC39A4" w:rsidP="00EC39A4">
      <w:pPr>
        <w:numPr>
          <w:ilvl w:val="0"/>
          <w:numId w:val="1"/>
        </w:numPr>
        <w:autoSpaceDE w:val="0"/>
        <w:autoSpaceDN w:val="0"/>
        <w:adjustRightInd w:val="0"/>
        <w:spacing w:after="0" w:line="240" w:lineRule="auto"/>
        <w:ind w:left="1508" w:hanging="360"/>
        <w:jc w:val="both"/>
        <w:rPr>
          <w:rFonts w:ascii="Arial" w:hAnsi="Arial" w:cs="Arial"/>
          <w:lang/>
        </w:rPr>
      </w:pPr>
      <w:r>
        <w:rPr>
          <w:rFonts w:ascii="Arial" w:hAnsi="Arial" w:cs="Arial"/>
          <w:lang/>
        </w:rPr>
        <w:t>Monitoring of net present values, internal rates of return (IRRs), value added and benefit to cost ratios (BCRs).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overall benchmark of VfM was the level to which the outcome level indicators were going to be met. If indicators fell below 30% at mid-term, this was going to be judged as poor value for money. During the 2015/6 Annual Review, a set of value for money indicator questions (based on 4Es) were added. Partners were encouraged to drive VFM through these questions, priortising effectiveness indicators, which were expected to progress as implementation moved into the third year. The following section reviews VfM in light of these questions, unit costs and volume of investments leveraged (MICF). Net present values, IRRs, value added and BCRs are not reviewed as they are a subject of the end-line review and evaluation.</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BEEP</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Total spending is considerably under budget, reflecting limited engagement and results in 2013/14, particularly. Spending from 2013-March 2016 totals £1,647,923; £2,373,702 remains unexpended for 2016-17. Expenditures below budget reflect the slowdown in BEEP activity resulting from the need to re-think BEEP’s approaches, from prior understaffing of BIF, and to some degree by slower entry into new markets by MOST. Lower expenditure reflects programme challenges, not economy or efficiency.</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BEEP has been refined in 2016 resulting in new partnerships, legislative initiatives, and tangible results accruing to programme efforts. Concrete and positive outputs have been noted in 2016. While the programme does not currently appear to be an effective approach to deliver sustainable business enabling environment reforms as it still does not reflect a clear reform strategy that encompasses business, donors, and government, activities undertaken in 2016 have delivered overall VFM. Further adjustments to the programme (as recommended in section C) are however needed to sustain this improvement. </w:t>
      </w:r>
    </w:p>
    <w:p w:rsidR="00EC39A4" w:rsidRDefault="00EC39A4" w:rsidP="00EC39A4">
      <w:pPr>
        <w:autoSpaceDE w:val="0"/>
        <w:autoSpaceDN w:val="0"/>
        <w:adjustRightInd w:val="0"/>
        <w:spacing w:before="240" w:after="60" w:line="240" w:lineRule="auto"/>
        <w:jc w:val="both"/>
        <w:rPr>
          <w:rFonts w:ascii="Arial" w:hAnsi="Arial" w:cs="Arial"/>
          <w:b/>
          <w:bCs/>
          <w:lang/>
        </w:rPr>
      </w:pPr>
      <w:r>
        <w:rPr>
          <w:rFonts w:ascii="Arial" w:hAnsi="Arial" w:cs="Arial"/>
          <w:b/>
          <w:bCs/>
          <w:lang/>
        </w:rPr>
        <w:t>MOST</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Based on MOST’s expenditures that include projections through March 2017, the main cost driver of MOST  is expenditure on technical assistance, amounting to 66% of total expenditure or a total of £640,815 for year 3 (over 80% of which are fees). The core and flexible facility expenditures combined is a total of £998,404 and around 70% of which are fees while the rest is expenses. This is reasonable given the staff-heavy nature of MOST and other market-systems programmes which, by design, require considerable staff interaction and TA with market actors. Project staff are well-qualified and the mix of international and national staff is deemed to deliver strong economy and efficiency. Expenditures for staff are well aligned to market change needs and activities and are applied with programming agility to take advantage or to minimise risk caused by exogenous factors.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lastRenderedPageBreak/>
        <w:t>MOST Expenditure for Year 3 is currently slightly below projections, however with net attributable income change (NAIC) results ahead of targets, MOST represents an effective suite of interventions. Despite the overall growth of MOST initiatives, the programme continues to lag behind NAIC impact targets in several markets and has not been able to scale up in newer markets. The lags in performance and new market scale-up can be largely attributed to the effects of poor rainfall in last year’s cultivation season - several activities were curtailed due to poor rainfall and production.</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MOST is equitably delivered. Over 40% of beneficiaries are female and there is broad geographic spread, with MOST reaching the poorest regions and those affected by flood and drought.</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Overall, MOST shows average VFM, with potential for beneficiary growth and increased VFM. DFID Malawi has agreed with MOST to include the programme’s performance on VFM in quarterly reports and will closely monitor these.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before="240" w:after="60" w:line="240" w:lineRule="auto"/>
        <w:jc w:val="both"/>
        <w:rPr>
          <w:rFonts w:ascii="Arial" w:hAnsi="Arial" w:cs="Arial"/>
          <w:b/>
          <w:bCs/>
          <w:lang/>
        </w:rPr>
      </w:pPr>
      <w:r>
        <w:rPr>
          <w:rFonts w:ascii="Arial" w:hAnsi="Arial" w:cs="Arial"/>
          <w:b/>
          <w:bCs/>
          <w:lang/>
        </w:rPr>
        <w:t>BIF</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Staff costs for the core country team account for 66% of total expenditures. BIF staff are key to programme performance; reflecting the personnel-intensive nature of market systems change programming.  The rest of the budget was expended on technical assistance and the programme management team.</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At present, the use of funds by BIF has been inefficient due to slow progress in BIF’s first two years, and the effectiveness of the programme will be assessed as impact indicator data are captured in 2017. It is reasonable to expect strong performance in the coming year.</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There is reason to be cautiously optimistic that the combination of strong project management, a focus on results, and the progress in 2016 provide a foundation for progress in 2017, notably evident in positive NAIC growth, new market strategies, and evidence of adoption and adaptation. Year 4 will be key to determine the effectiveness of BIF, and the programme’s VFM.</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Equity measures show wide participation of women in project initiatives; though the true measure of equity will be how women’s income gains are reported and who in the household controls spending. Technical assistance to understand the extent of income gains by women, and household could be useful to the sector’s understanding of women in private sector development.</w:t>
      </w:r>
    </w:p>
    <w:p w:rsidR="00EC39A4" w:rsidRDefault="00EC39A4" w:rsidP="00EC39A4">
      <w:pPr>
        <w:autoSpaceDE w:val="0"/>
        <w:autoSpaceDN w:val="0"/>
        <w:adjustRightInd w:val="0"/>
        <w:spacing w:before="240" w:after="60" w:line="240" w:lineRule="auto"/>
        <w:jc w:val="both"/>
        <w:rPr>
          <w:rFonts w:ascii="Arial" w:hAnsi="Arial" w:cs="Arial"/>
          <w:b/>
          <w:bCs/>
          <w:lang/>
        </w:rPr>
      </w:pPr>
      <w:r>
        <w:rPr>
          <w:rFonts w:ascii="Arial" w:hAnsi="Arial" w:cs="Arial"/>
          <w:b/>
          <w:bCs/>
          <w:lang/>
        </w:rPr>
        <w:t>MICF</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VFM review in November 2015 highlighted MICF’s strong economy measures in rolling out Window One of the Challenge Fund with very skilled, quite limited staffing. The reviewers noted the high-quality work conducted by the limited staff. This year, staffing has been increased; the need for close project and grantee management along with opening another window fully justify this staff expansion.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DFID leverage is 159% with MICF investment of USD 2,289,252 generating business investment of 3,353,291 for a total business investment of USD 5,642,543.</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MICF remains economic and efficient.</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lastRenderedPageBreak/>
        <w:t>Ultimately, MICF’s effectiveness will be more fully understood in 2017 when there are latter stage data on beneficiary NAIC, business innovation, and market changes and adaptation. Current assessments show early indications of positive results. At present, MICF delivers positive VFM based on its efficient operations approaches, the TA provided to grant recipients, and the potential to power greater private-sector engagement through its challenge fund leverage of DFID funding.</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Equity approaches and measures are rather minimal in MICF, though the introduction of a gender assessment tool in the next competition promised to be a lever for greater involvement of women in the private sector, currently only 25% of beneficiaries are women.</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Assessment of whether the programme continues to represent value for money</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overall benchmark of VFM (defined by the level to which the outcome level indicators have been met) was exceeded, indicating that the programme continues to represent VFM. Specifically, MICF and MOST demonstrated efficient use of funds and results that showed effective beneficiary impact or leverage of beneficiary funds for co-investment. BIF has been transformed during 2016 and the positive changes set establish the foundation for substantial progress in 2017. It is increasingly efficient, but beneficiary impact results in 2017 are likely to be telling. Concrete and positive outputs have been noted in 2016 under the BEEP.</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Quality of financial management</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u w:val="single"/>
          <w:lang/>
        </w:rPr>
      </w:pPr>
      <w:r>
        <w:rPr>
          <w:rFonts w:ascii="Arial" w:hAnsi="Arial" w:cs="Arial"/>
          <w:u w:val="single"/>
          <w:lang/>
        </w:rPr>
        <w:t xml:space="preserve">Have narrative and financial reporting requirements been adhered to?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three implementing partners: Malawi Oilseed Sector Transformation, the Business Innovation Facility and the Malawi Innovation Challenge Fund provided quarterly narrative and financial reports. All the reports met DFID’s requirements. The finances for BEEP were partly managed in-house, directly by DFID programme staff. Specifically, GIZ also submitted narrative and financial semi-annual reports for the Malawi Extractive Industry Transparency Initiative, which met the requirements. The annual report for the World Bank Malawi Country Economic Memorandum was not yet due for uploading on the World Bank portal at the time that this annual review was being written. However, the World Bank shared all the eleven background papers on the bank's portal in January 2017. These products met the requirements and DFID will now ensure that the annual report is submitted.</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u w:val="single"/>
          <w:lang/>
        </w:rPr>
      </w:pPr>
      <w:r>
        <w:rPr>
          <w:rFonts w:ascii="Arial" w:hAnsi="Arial" w:cs="Arial"/>
          <w:u w:val="single"/>
          <w:lang/>
        </w:rPr>
        <w:t xml:space="preserve">Have auditing requirements been met? Include details of last report.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All implementing partners met auditing requirements. Both the Malawi Oil Seed Transformation and the Business Innovation Facility Programmes submitted Adams Smith International and PwC audited statements for 2015 in May 2016. Both reports were unqualified and did not require any follow up.</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DFID staff directly delivers the Business Enabling Environment. Receipt of audited statements was therefore not applicable. However, in light of DFID co-funding for Malawi Extractive Industries Transparency Initiative, GIZ will share its audited statements before the end of 2017.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UNDP commissioned an independent audit for the Malawi Innovation Challenge Fund in the first half of 2016. The report was unqualified.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u w:val="single"/>
          <w:lang/>
        </w:rPr>
      </w:pPr>
      <w:r>
        <w:rPr>
          <w:rFonts w:ascii="Arial" w:hAnsi="Arial" w:cs="Arial"/>
          <w:u w:val="single"/>
          <w:lang/>
        </w:rPr>
        <w:t>Is the project on-track against financial forecasts?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table below sets out 2016 programme forecast versus expenditure to date for each of the five outputs. Overall, the programme has registered an under spend of 12%, reflecting that it is </w:t>
      </w:r>
      <w:r>
        <w:rPr>
          <w:rFonts w:ascii="Arial" w:hAnsi="Arial" w:cs="Arial"/>
          <w:lang/>
        </w:rPr>
        <w:lastRenderedPageBreak/>
        <w:t>slightly off track against financial forecasts. The biggest underspend, 17%, is on the Malawi Oil Seed Transformation, for the same reasons as the previous year’s. The primary challenge was the effect of poor rainfall during planting in the last growing season. A number of activities including contract farming agreements with downstream partners were cancelled because of the poor rainfall. The cotton sector was the most affected because the key downstream partner slowed down on contract farming due to poor loan recovery performamnce resulting from rainfall failure.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There was no spending on Malawi Innovation Challenge Fund because the UNDP was mopping up resources disbursed in the previous year. A few companies experienced delays in delivery of milestones due to a challenging macro-economic environment and this affected further disbursements. A number of companies are now on course to delivering the required milestones by mid-2017.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PSD programme spend as at Dec 2016 in £</w:t>
      </w:r>
    </w:p>
    <w:tbl>
      <w:tblPr>
        <w:tblW w:w="0" w:type="auto"/>
        <w:tblInd w:w="108" w:type="dxa"/>
        <w:tblLayout w:type="fixed"/>
        <w:tblLook w:val="0000"/>
      </w:tblPr>
      <w:tblGrid>
        <w:gridCol w:w="4262"/>
        <w:gridCol w:w="2701"/>
        <w:gridCol w:w="2306"/>
        <w:gridCol w:w="1151"/>
      </w:tblGrid>
      <w:tr w:rsidR="00EC39A4">
        <w:tblPrEx>
          <w:tblCellMar>
            <w:top w:w="0" w:type="dxa"/>
            <w:bottom w:w="0" w:type="dxa"/>
          </w:tblCellMar>
        </w:tblPrEx>
        <w:trPr>
          <w:trHeight w:val="764"/>
        </w:trPr>
        <w:tc>
          <w:tcPr>
            <w:tcW w:w="4262" w:type="dxa"/>
            <w:tcBorders>
              <w:top w:val="single" w:sz="4" w:space="0" w:color="000000"/>
              <w:left w:val="single" w:sz="4" w:space="0" w:color="000000"/>
              <w:bottom w:val="single" w:sz="4" w:space="0" w:color="000000"/>
              <w:right w:val="single" w:sz="4" w:space="0" w:color="000000"/>
            </w:tcBorders>
            <w:shd w:val="clear" w:color="000000" w:fill="8DB4E2"/>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PSD Component</w:t>
            </w:r>
          </w:p>
        </w:tc>
        <w:tc>
          <w:tcPr>
            <w:tcW w:w="2701" w:type="dxa"/>
            <w:tcBorders>
              <w:top w:val="single" w:sz="4" w:space="0" w:color="000000"/>
              <w:left w:val="single" w:sz="4" w:space="0" w:color="000000"/>
              <w:bottom w:val="single" w:sz="4" w:space="0" w:color="000000"/>
              <w:right w:val="single" w:sz="4" w:space="0" w:color="000000"/>
            </w:tcBorders>
            <w:shd w:val="clear" w:color="000000" w:fill="8DB4E2"/>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Total forecast Feb 2016- January 2017</w:t>
            </w:r>
          </w:p>
        </w:tc>
        <w:tc>
          <w:tcPr>
            <w:tcW w:w="2306" w:type="dxa"/>
            <w:tcBorders>
              <w:top w:val="single" w:sz="4" w:space="0" w:color="000000"/>
              <w:left w:val="single" w:sz="4" w:space="0" w:color="000000"/>
              <w:bottom w:val="single" w:sz="4" w:space="0" w:color="000000"/>
              <w:right w:val="single" w:sz="4" w:space="0" w:color="000000"/>
            </w:tcBorders>
            <w:shd w:val="clear" w:color="000000" w:fill="8DB4E2"/>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Spend Feb 2016- January 2017</w:t>
            </w:r>
          </w:p>
        </w:tc>
        <w:tc>
          <w:tcPr>
            <w:tcW w:w="1151" w:type="dxa"/>
            <w:tcBorders>
              <w:top w:val="single" w:sz="4" w:space="0" w:color="000000"/>
              <w:left w:val="single" w:sz="4" w:space="0" w:color="000000"/>
              <w:bottom w:val="single" w:sz="4" w:space="0" w:color="000000"/>
              <w:right w:val="single" w:sz="4" w:space="0" w:color="000000"/>
            </w:tcBorders>
            <w:shd w:val="clear" w:color="000000" w:fill="8DB4E2"/>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Variance %</w:t>
            </w:r>
          </w:p>
        </w:tc>
      </w:tr>
      <w:tr w:rsidR="00EC39A4">
        <w:tblPrEx>
          <w:tblCellMar>
            <w:top w:w="0" w:type="dxa"/>
            <w:bottom w:w="0" w:type="dxa"/>
          </w:tblCellMar>
        </w:tblPrEx>
        <w:trPr>
          <w:trHeight w:val="300"/>
        </w:trPr>
        <w:tc>
          <w:tcPr>
            <w:tcW w:w="426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Business Enabling Environment Programme</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644,257</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623,447</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3</w:t>
            </w:r>
          </w:p>
        </w:tc>
      </w:tr>
      <w:tr w:rsidR="00EC39A4">
        <w:tblPrEx>
          <w:tblCellMar>
            <w:top w:w="0" w:type="dxa"/>
            <w:bottom w:w="0" w:type="dxa"/>
          </w:tblCellMar>
        </w:tblPrEx>
        <w:trPr>
          <w:trHeight w:val="300"/>
        </w:trPr>
        <w:tc>
          <w:tcPr>
            <w:tcW w:w="426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Malawi Innovation Challenge Fund</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0</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0</w:t>
            </w:r>
          </w:p>
        </w:tc>
      </w:tr>
      <w:tr w:rsidR="00EC39A4">
        <w:tblPrEx>
          <w:tblCellMar>
            <w:top w:w="0" w:type="dxa"/>
            <w:bottom w:w="0" w:type="dxa"/>
          </w:tblCellMar>
        </w:tblPrEx>
        <w:trPr>
          <w:trHeight w:val="300"/>
        </w:trPr>
        <w:tc>
          <w:tcPr>
            <w:tcW w:w="426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Malawi Oil Seeds Transformation Programme</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2,236,417</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p>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1,886,338</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17</w:t>
            </w:r>
          </w:p>
        </w:tc>
      </w:tr>
      <w:tr w:rsidR="00EC39A4">
        <w:tblPrEx>
          <w:tblCellMar>
            <w:top w:w="0" w:type="dxa"/>
            <w:bottom w:w="0" w:type="dxa"/>
          </w:tblCellMar>
        </w:tblPrEx>
        <w:trPr>
          <w:trHeight w:val="300"/>
        </w:trPr>
        <w:tc>
          <w:tcPr>
            <w:tcW w:w="426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Business Innovation Facility</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300,000</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300,000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0</w:t>
            </w:r>
          </w:p>
        </w:tc>
      </w:tr>
      <w:tr w:rsidR="00EC39A4">
        <w:tblPrEx>
          <w:tblCellMar>
            <w:top w:w="0" w:type="dxa"/>
            <w:bottom w:w="0" w:type="dxa"/>
          </w:tblCellMar>
        </w:tblPrEx>
        <w:trPr>
          <w:trHeight w:val="300"/>
        </w:trPr>
        <w:tc>
          <w:tcPr>
            <w:tcW w:w="426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Monitoring and Evaluation</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84,000</w:t>
            </w:r>
          </w:p>
        </w:tc>
        <w:tc>
          <w:tcPr>
            <w:tcW w:w="230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84,000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0</w:t>
            </w:r>
          </w:p>
        </w:tc>
      </w:tr>
      <w:tr w:rsidR="00EC39A4">
        <w:tblPrEx>
          <w:tblCellMar>
            <w:top w:w="0" w:type="dxa"/>
            <w:bottom w:w="0" w:type="dxa"/>
          </w:tblCellMar>
        </w:tblPrEx>
        <w:trPr>
          <w:trHeight w:val="300"/>
        </w:trPr>
        <w:tc>
          <w:tcPr>
            <w:tcW w:w="4262" w:type="dxa"/>
            <w:tcBorders>
              <w:top w:val="single" w:sz="4" w:space="0" w:color="000000"/>
              <w:left w:val="single" w:sz="4" w:space="0" w:color="000000"/>
              <w:bottom w:val="single" w:sz="4" w:space="0" w:color="000000"/>
              <w:right w:val="single" w:sz="4" w:space="0" w:color="000000"/>
            </w:tcBorders>
            <w:shd w:val="clear" w:color="000000" w:fill="DCE6F1"/>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Total</w:t>
            </w:r>
          </w:p>
        </w:tc>
        <w:tc>
          <w:tcPr>
            <w:tcW w:w="2701" w:type="dxa"/>
            <w:tcBorders>
              <w:top w:val="single" w:sz="4" w:space="0" w:color="000000"/>
              <w:left w:val="single" w:sz="4" w:space="0" w:color="000000"/>
              <w:bottom w:val="single" w:sz="4" w:space="0" w:color="000000"/>
              <w:right w:val="single" w:sz="4" w:space="0" w:color="000000"/>
            </w:tcBorders>
            <w:shd w:val="clear" w:color="000000" w:fill="DCE6F1"/>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2,964,674</w:t>
            </w:r>
          </w:p>
        </w:tc>
        <w:tc>
          <w:tcPr>
            <w:tcW w:w="2306" w:type="dxa"/>
            <w:tcBorders>
              <w:top w:val="single" w:sz="4" w:space="0" w:color="000000"/>
              <w:left w:val="single" w:sz="4" w:space="0" w:color="000000"/>
              <w:bottom w:val="single" w:sz="4" w:space="0" w:color="000000"/>
              <w:right w:val="single" w:sz="4" w:space="0" w:color="000000"/>
            </w:tcBorders>
            <w:shd w:val="clear" w:color="000000" w:fill="DCE6F1"/>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2,593,785</w:t>
            </w:r>
          </w:p>
        </w:tc>
        <w:tc>
          <w:tcPr>
            <w:tcW w:w="1151" w:type="dxa"/>
            <w:tcBorders>
              <w:top w:val="single" w:sz="4" w:space="0" w:color="000000"/>
              <w:left w:val="single" w:sz="4" w:space="0" w:color="000000"/>
              <w:bottom w:val="single" w:sz="4" w:space="0" w:color="000000"/>
              <w:right w:val="single" w:sz="4" w:space="0" w:color="000000"/>
            </w:tcBorders>
            <w:shd w:val="clear" w:color="000000" w:fill="DCE6F1"/>
            <w:vAlign w:val="center"/>
          </w:tcPr>
          <w:p w:rsidR="00EC39A4" w:rsidRDefault="00EC39A4">
            <w:pPr>
              <w:autoSpaceDE w:val="0"/>
              <w:autoSpaceDN w:val="0"/>
              <w:adjustRightInd w:val="0"/>
              <w:spacing w:after="0" w:line="240" w:lineRule="auto"/>
              <w:jc w:val="center"/>
              <w:rPr>
                <w:rFonts w:ascii="Calibri" w:hAnsi="Calibri" w:cs="Calibri"/>
                <w:lang/>
              </w:rPr>
            </w:pPr>
            <w:r>
              <w:rPr>
                <w:rFonts w:ascii="Arial" w:hAnsi="Arial" w:cs="Arial"/>
                <w:sz w:val="20"/>
                <w:szCs w:val="20"/>
                <w:lang/>
              </w:rPr>
              <w:t>12</w:t>
            </w:r>
          </w:p>
        </w:tc>
      </w:tr>
    </w:tbl>
    <w:p w:rsidR="00EC39A4" w:rsidRDefault="00EC39A4" w:rsidP="00EC39A4">
      <w:pPr>
        <w:autoSpaceDE w:val="0"/>
        <w:autoSpaceDN w:val="0"/>
        <w:adjustRightInd w:val="0"/>
        <w:spacing w:after="0" w:line="240" w:lineRule="auto"/>
        <w:jc w:val="both"/>
        <w:rPr>
          <w:rFonts w:ascii="Calibri" w:hAnsi="Calibri" w:cs="Calibri"/>
          <w:lang/>
        </w:rPr>
      </w:pPr>
    </w:p>
    <w:tbl>
      <w:tblPr>
        <w:tblW w:w="0" w:type="auto"/>
        <w:tblInd w:w="108" w:type="dxa"/>
        <w:tblLayout w:type="fixed"/>
        <w:tblLook w:val="0000"/>
      </w:tblPr>
      <w:tblGrid>
        <w:gridCol w:w="3716"/>
        <w:gridCol w:w="6478"/>
      </w:tblGrid>
      <w:tr w:rsidR="00EC39A4">
        <w:tblPrEx>
          <w:tblCellMar>
            <w:top w:w="0" w:type="dxa"/>
            <w:bottom w:w="0" w:type="dxa"/>
          </w:tblCellMar>
        </w:tblPrEx>
        <w:trPr>
          <w:trHeight w:val="1"/>
        </w:trPr>
        <w:tc>
          <w:tcPr>
            <w:tcW w:w="371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Date of last narrative financial report</w:t>
            </w:r>
          </w:p>
        </w:tc>
        <w:tc>
          <w:tcPr>
            <w:tcW w:w="6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Malawi Oilseed Sector Transformation programme: October 2016.</w:t>
            </w:r>
          </w:p>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 xml:space="preserve">Malawi Innovation Challenge Fund: September 2016; </w:t>
            </w:r>
          </w:p>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 xml:space="preserve">Business Innovation Facility: September 2016. (Finances centrally managed).. </w:t>
            </w:r>
          </w:p>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 xml:space="preserve">Business Enabling Environment Program: </w:t>
            </w:r>
          </w:p>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GIZ Malawi Extractives Industry Transparency Initiatives: August 2016</w:t>
            </w:r>
          </w:p>
        </w:tc>
      </w:tr>
      <w:tr w:rsidR="00EC39A4">
        <w:tblPrEx>
          <w:tblCellMar>
            <w:top w:w="0" w:type="dxa"/>
            <w:bottom w:w="0" w:type="dxa"/>
          </w:tblCellMar>
        </w:tblPrEx>
        <w:trPr>
          <w:trHeight w:val="1"/>
        </w:trPr>
        <w:tc>
          <w:tcPr>
            <w:tcW w:w="371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Date of last audited annual statement</w:t>
            </w:r>
          </w:p>
        </w:tc>
        <w:tc>
          <w:tcPr>
            <w:tcW w:w="647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Business Innovation Facility: January 2016</w:t>
            </w:r>
          </w:p>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 xml:space="preserve">Malawi Oilseed Sector Transformation programme: July 2016 </w:t>
            </w:r>
          </w:p>
          <w:p w:rsidR="00EC39A4" w:rsidRDefault="00EC39A4">
            <w:pPr>
              <w:autoSpaceDE w:val="0"/>
              <w:autoSpaceDN w:val="0"/>
              <w:adjustRightInd w:val="0"/>
              <w:spacing w:after="0" w:line="240" w:lineRule="auto"/>
              <w:jc w:val="both"/>
              <w:rPr>
                <w:rFonts w:ascii="Arial" w:hAnsi="Arial" w:cs="Arial"/>
                <w:sz w:val="20"/>
                <w:szCs w:val="20"/>
                <w:lang/>
              </w:rPr>
            </w:pPr>
            <w:r>
              <w:rPr>
                <w:rFonts w:ascii="Arial" w:hAnsi="Arial" w:cs="Arial"/>
                <w:sz w:val="20"/>
                <w:szCs w:val="20"/>
                <w:lang/>
              </w:rPr>
              <w:t xml:space="preserve">Malawi Innovation Challenge Fund: April 2016 </w:t>
            </w:r>
          </w:p>
          <w:p w:rsidR="00EC39A4" w:rsidRDefault="00EC39A4">
            <w:pPr>
              <w:autoSpaceDE w:val="0"/>
              <w:autoSpaceDN w:val="0"/>
              <w:adjustRightInd w:val="0"/>
              <w:spacing w:after="0" w:line="240" w:lineRule="auto"/>
              <w:jc w:val="both"/>
              <w:rPr>
                <w:rFonts w:ascii="Calibri" w:hAnsi="Calibri" w:cs="Calibri"/>
                <w:lang/>
              </w:rPr>
            </w:pPr>
            <w:r>
              <w:rPr>
                <w:rFonts w:ascii="Arial" w:hAnsi="Arial" w:cs="Arial"/>
                <w:sz w:val="20"/>
                <w:szCs w:val="20"/>
                <w:lang/>
              </w:rPr>
              <w:t>Business Enabling Environment Program- GIZ Malawi Extractives Industry Transparency Initiatives: expected mid 2017</w:t>
            </w:r>
          </w:p>
        </w:tc>
      </w:tr>
    </w:tbl>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E: RISK </w:t>
      </w:r>
      <w:r>
        <w:rPr>
          <w:rFonts w:ascii="Arial" w:hAnsi="Arial" w:cs="Arial"/>
          <w:highlight w:val="white"/>
          <w:lang/>
        </w:rPr>
        <w:t>(½ page)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Overall risk rating:  Moderate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Overview of programme risk</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overall risk for the portfolio is judged at moderate. Weather forecasts for the upcoming agricultural season seem positive, and the three operational components are well-positioned to move forward quickly in the coming year. However, Malawi’s challenging environment for private sector development notably worsened in the year under review.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Persistent and updated risks to performance are as follows:</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i/>
          <w:iCs/>
          <w:lang/>
        </w:rPr>
      </w:pPr>
      <w:r>
        <w:rPr>
          <w:rFonts w:ascii="Arial" w:hAnsi="Arial" w:cs="Arial"/>
          <w:lang/>
        </w:rPr>
        <w:lastRenderedPageBreak/>
        <w:t xml:space="preserve">Factors affecting the broader economy will continue to impact on the effectiveness of the portfolio’s support to specific businesses/sectors. The overall macro economy worsened further in the year under review. The Kwacha depreciated further, interest rates stayed punitively high, the Malawian government grew stricter on taxation of imports in an effort to fill its budget deficit, and the rain failure and low water level of Lake Malawi contributed to daily electricity blackouts. If this situation persists, it is feasible that the portfolio will significantly underperform. DFID, alongside implementing partners, will continue to closely monitor the broader environment in which businesses operate, and ensure that logframes are adjusted. </w:t>
      </w:r>
      <w:r>
        <w:rPr>
          <w:rFonts w:ascii="Arial" w:hAnsi="Arial" w:cs="Arial"/>
          <w:i/>
          <w:iCs/>
          <w:lang/>
        </w:rPr>
        <w:t>Risk rating: Likelihood: Possible; Impact: Moderate</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i/>
          <w:iCs/>
          <w:lang/>
        </w:rPr>
      </w:pPr>
      <w:r>
        <w:rPr>
          <w:rFonts w:ascii="Arial" w:hAnsi="Arial" w:cs="Arial"/>
          <w:lang/>
        </w:rPr>
        <w:t xml:space="preserve">A key risk is natural disasters – the rain failure in the 2015/2016 growing season, followed in some places by brief floods, led to extremely low yields, which retarded progress for the entire portfolio. The rains for the 2016/2017 season are expected to be normal. However, DFID and implementing partners should remain aware of the environment’s influence on the portfolio’s success, and be prepared to shift strategies and expectations if another adverse season occurs. </w:t>
      </w:r>
      <w:r>
        <w:rPr>
          <w:rFonts w:ascii="Arial" w:hAnsi="Arial" w:cs="Arial"/>
          <w:i/>
          <w:iCs/>
          <w:lang/>
        </w:rPr>
        <w:t>Risk rating:</w:t>
      </w:r>
      <w:r>
        <w:rPr>
          <w:rFonts w:ascii="Arial" w:hAnsi="Arial" w:cs="Arial"/>
          <w:lang/>
        </w:rPr>
        <w:t xml:space="preserve">  </w:t>
      </w:r>
      <w:r>
        <w:rPr>
          <w:rFonts w:ascii="Arial" w:hAnsi="Arial" w:cs="Arial"/>
          <w:i/>
          <w:iCs/>
          <w:lang/>
        </w:rPr>
        <w:t>Likelihood: Possible; Impact: Major</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i/>
          <w:iCs/>
          <w:lang/>
        </w:rPr>
      </w:pPr>
      <w:r>
        <w:rPr>
          <w:rFonts w:ascii="Arial" w:hAnsi="Arial" w:cs="Arial"/>
          <w:lang/>
        </w:rPr>
        <w:t>Reputational (the programmes are perceived to support the wrong recipients) – Identified as an operational risk in the Business Case, the programme components continue to face this risk. Each of these components undertook significant analysis to inform specific interventions and to ensure the right recipients receive support. MICF invited applications through a transparent competitive process, with applications selected by an Independent Investment Panel and thorough due diligence undertaken on each finalist prior to signing a grant agreement. The BIF and MOST</w:t>
      </w:r>
      <w:r>
        <w:rPr>
          <w:rFonts w:ascii="Arial" w:hAnsi="Arial" w:cs="Arial"/>
          <w:color w:val="000000"/>
          <w:lang/>
        </w:rPr>
        <w:t xml:space="preserve"> </w:t>
      </w:r>
      <w:r>
        <w:rPr>
          <w:rFonts w:ascii="Arial" w:hAnsi="Arial" w:cs="Arial"/>
          <w:lang/>
        </w:rPr>
        <w:t>programmes started with detailed analysis of markets within which they are operating, consulting stakeholders widely in the markets to identify inclusive business opportunities. Both the BIF and MOST</w:t>
      </w:r>
      <w:r>
        <w:rPr>
          <w:rFonts w:ascii="Arial" w:hAnsi="Arial" w:cs="Arial"/>
          <w:color w:val="000000"/>
          <w:lang/>
        </w:rPr>
        <w:t xml:space="preserve"> </w:t>
      </w:r>
      <w:r>
        <w:rPr>
          <w:rFonts w:ascii="Arial" w:hAnsi="Arial" w:cs="Arial"/>
          <w:lang/>
        </w:rPr>
        <w:t xml:space="preserve">programmes have the flexibility to respond to emerging opportunities with new businesses, and can exit from interventions which are not delivering. This flexibility has been and should continue to be maintained. </w:t>
      </w:r>
      <w:r>
        <w:rPr>
          <w:rFonts w:ascii="Arial" w:hAnsi="Arial" w:cs="Arial"/>
          <w:i/>
          <w:iCs/>
          <w:lang/>
        </w:rPr>
        <w:t>Risk rating: Likelihood: Possible; Impact: Moderate</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i/>
          <w:iCs/>
          <w:lang/>
        </w:rPr>
      </w:pPr>
      <w:r>
        <w:rPr>
          <w:rFonts w:ascii="Arial" w:hAnsi="Arial" w:cs="Arial"/>
          <w:lang/>
        </w:rPr>
        <w:t xml:space="preserve">Failure to deliver intended pro-poor benefits or to achieve transformative change – criteria for selecting interventions/projects to support should (and do) include transformative change, informed in MOST and BIF by detailed market analysis to understand constraints in the market.  Strong monitoring and evaluation approaches need to be in place for all projects (by and large, though with some deficiencies – detailed below), and should be used to inform future programming. Systemic change is included at outcome level for each of the logframes, and therefore will be monitored/tracked as part of the monitoring and evaluation approach being taken forward. Finally, for MICF, impact milestones need to be reached before the final tranche of funds is disbursed. </w:t>
      </w:r>
      <w:r>
        <w:rPr>
          <w:rFonts w:ascii="Arial" w:hAnsi="Arial" w:cs="Arial"/>
          <w:i/>
          <w:iCs/>
          <w:lang/>
        </w:rPr>
        <w:t>Risk rating: Likelihood: Unlikely; Impact: Minor</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i/>
          <w:iCs/>
          <w:lang/>
        </w:rPr>
      </w:pPr>
      <w:r>
        <w:rPr>
          <w:rFonts w:ascii="Arial" w:hAnsi="Arial" w:cs="Arial"/>
          <w:lang/>
        </w:rPr>
        <w:t xml:space="preserve">Lack of additionality in DFID’s support to businesses – access to finance and business development services is low in Malawi. However, some businesses do have more access than others; for example, well connected established </w:t>
      </w:r>
      <w:r>
        <w:rPr>
          <w:rFonts w:ascii="Arial" w:hAnsi="Arial" w:cs="Arial"/>
          <w:lang/>
        </w:rPr>
        <w:lastRenderedPageBreak/>
        <w:t xml:space="preserve">businesses are more likely to access loans from financial institutions.  DFID should continue to ensure that businesses receiving support cannot access that support from elsewhere on reasonable terms. Furthermore, with a limited number of private sector players in Malawi, some businesses may receive support from different components within the DFID programme, as well as from other donor programmes. DFID should ensure regular communication between technical service providers within the private sector development programme, as well as between donors, to avoid duplication and maximise complementarities in support of businesses.  </w:t>
      </w:r>
      <w:r>
        <w:rPr>
          <w:rFonts w:ascii="Arial" w:hAnsi="Arial" w:cs="Arial"/>
          <w:i/>
          <w:iCs/>
          <w:lang/>
        </w:rPr>
        <w:t>Risk Rating: Likelihood: Possible; Impact: Moderate</w:t>
      </w:r>
    </w:p>
    <w:p w:rsidR="00EC39A4" w:rsidRDefault="00EC39A4" w:rsidP="00EC39A4">
      <w:pPr>
        <w:autoSpaceDE w:val="0"/>
        <w:autoSpaceDN w:val="0"/>
        <w:adjustRightInd w:val="0"/>
        <w:spacing w:after="0" w:line="240" w:lineRule="auto"/>
        <w:ind w:left="720"/>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i/>
          <w:iCs/>
          <w:lang/>
        </w:rPr>
      </w:pPr>
      <w:r>
        <w:rPr>
          <w:rFonts w:ascii="Arial" w:hAnsi="Arial" w:cs="Arial"/>
          <w:lang/>
        </w:rPr>
        <w:t xml:space="preserve">Fraud conducted by Service Providers or by beneficiaries – DFID Malawi closely engages with the Technical Service Provider for MOST to ensure appropriate contracting of downstream providers, with attention given to VFM and avoidance of conflict of interest (including through gift and conflict of interest registers). For MICF, due diligence assessments are available for UNDP, and for Nathan Associates (contracted by UNDP to act as Independent Fund Managers). Grantees have all had due diligence assessments (which include confirmation of adequate fraud and corruption controls) undertaken. For BIF, DFID uses the due diligence assessment prepared by DFID HQ for its top ten suppliers, which includes PwC – the lead contractor. </w:t>
      </w:r>
      <w:r>
        <w:rPr>
          <w:rFonts w:ascii="Arial" w:hAnsi="Arial" w:cs="Arial"/>
          <w:i/>
          <w:iCs/>
          <w:lang/>
        </w:rPr>
        <w:t>Risk rating: Likelihood: Unlikely; Impact: Moderate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Outstanding actions from risk assessment</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The DFID team should continue to discuss risks and mitigating actions with partners at quarterly meetings to ensure that risk management remains an in-built part of the programmes. Also DFID should internally continue reviewing risk and mitigation options on a monthly basis.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F: COMMERCIAL CONSIDERATIONS </w:t>
      </w:r>
      <w:r>
        <w:rPr>
          <w:rFonts w:ascii="Arial" w:hAnsi="Arial" w:cs="Arial"/>
          <w:highlight w:val="white"/>
          <w:lang/>
        </w:rPr>
        <w:t>(½ page)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programme remains broadly on track. There are some risks, including the Business Innovation Facility’s slow pace of progress and the possibility that the Malawi Innovation Challenge Fund’s grantees are not able to achieve their milestones according to the schedules agreed. The Business Enabling Environment Programme has a significant balance of funding unspent. This review recommends that unspent funds be re-allocated to the Malawi Innovation Challenge Fund as well as to the on-going work on maize reforms.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overall program is on track with two programme extensions granted to MICF and MOST. The BEEP still has more than 50% of its budget unspent for reasons discussed above.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Performance of partnership(s)</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programme involves partnership with a broad range of different organisations.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For the Malawi Oilseed Sector Transformation programme the lead contractor is Adam Smith International. The partnership is going well, with excellent technical reporting and programme management, with regular communications between DFID and the Adam Smith International team, raising political economy issues in a timely manner, enabling DFID to take up influencing opportunities where appropriate. The Adam Smith International team has shown some reluctance to be fully transparent with the review team on financial data with the result that DFID </w:t>
      </w:r>
      <w:r>
        <w:rPr>
          <w:rFonts w:ascii="Arial" w:hAnsi="Arial" w:cs="Arial"/>
          <w:lang/>
        </w:rPr>
        <w:lastRenderedPageBreak/>
        <w:t xml:space="preserve">has supplied financial data directly. DFID needs to encourage Adam Smith International to engage more positively with the review team.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For the Business Enabling Environment Programme, DFID has worked with the GIZ and the World Bank on the Malawi Extractive Industry and Transparency Initiative and the Malawi Country Economic Memorandum respectively. All parties enjoyed good partnerships. There were regular communication and semi annual meetings with GIZ. All parties interacted well during the private sector donor dialogue meetings.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For the Malawi Innovation Challenge Fund, DFID has a very good working relationship with its primary partner, UNDP, as well as with the independent fund managers (a Nathan/Imani Consortium) contracted by UNDP on day-to-day management of the Fund. Reporting and communication is strong.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DFID engages regularly with the Imani/PWC team who are the service providers for the Business Innovation Facility, as well as with the Private Sector Department in Whitehall (the primary source of funding for this programme). DFID maintains good working relations with both partners, (with formal Advisory Group meetings occurring every six months), and appreciates the responsiveness of the Business Innovation Facility team to support DFID on work related to the Energy Compact, reflecting the high profile given by previous Ministers to the uptake of solar home systems across Africa.</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 xml:space="preserve">Asset monitoring and control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The level of confidence in the management of programme assets in the </w:t>
      </w:r>
      <w:r>
        <w:rPr>
          <w:rFonts w:ascii="Arial" w:hAnsi="Arial" w:cs="Arial"/>
          <w:color w:val="000000"/>
          <w:lang/>
        </w:rPr>
        <w:t xml:space="preserve">Malawi Oilseed Sector Transformation </w:t>
      </w:r>
      <w:r>
        <w:rPr>
          <w:rFonts w:ascii="Arial" w:hAnsi="Arial" w:cs="Arial"/>
          <w:lang/>
        </w:rPr>
        <w:t>programme is high, with asset registers being updated and sent to DFID twice a year. A physical inspection of assets against the register was carried out by DFID staff in June 2016 and there were no issues. There are no assets for the Business Innovation Facility or the Malawi Innovation Challenge Fund.</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G: CONDITIONALITY </w:t>
      </w:r>
      <w:r>
        <w:rPr>
          <w:rFonts w:ascii="Arial" w:hAnsi="Arial" w:cs="Arial"/>
          <w:highlight w:val="white"/>
          <w:lang/>
        </w:rPr>
        <w:t>(½ page)</w:t>
      </w:r>
    </w:p>
    <w:p w:rsidR="00EC39A4" w:rsidRDefault="00EC39A4" w:rsidP="00EC39A4">
      <w:pPr>
        <w:autoSpaceDE w:val="0"/>
        <w:autoSpaceDN w:val="0"/>
        <w:adjustRightInd w:val="0"/>
        <w:spacing w:after="0" w:line="240" w:lineRule="auto"/>
        <w:ind w:left="360"/>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Update on partnership principles (if relevant) .</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Partnership Principles do not play a role in the management and monitoring of the programme, which works outside of government systems.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highlight w:val="white"/>
          <w:lang/>
        </w:rPr>
      </w:pPr>
      <w:r>
        <w:rPr>
          <w:rFonts w:ascii="Arial" w:hAnsi="Arial" w:cs="Arial"/>
          <w:b/>
          <w:bCs/>
          <w:highlight w:val="white"/>
          <w:lang/>
        </w:rPr>
        <w:t xml:space="preserve">H: MONITORING &amp; EVALUATION </w:t>
      </w:r>
      <w:r>
        <w:rPr>
          <w:rFonts w:ascii="Arial" w:hAnsi="Arial" w:cs="Arial"/>
          <w:highlight w:val="white"/>
          <w:lang/>
        </w:rPr>
        <w:t>(½ page)</w:t>
      </w:r>
    </w:p>
    <w:p w:rsidR="00EC39A4" w:rsidRDefault="00EC39A4" w:rsidP="00EC39A4">
      <w:pPr>
        <w:tabs>
          <w:tab w:val="left" w:pos="3495"/>
        </w:tabs>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Evidence and evaluation</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All indications regarding the Business Innovation Facility, Malawi Oil Seed Transformation and Malawi Innovation Challenge Fund programmes are that they are relevant and well-focused. BEEP’s two activities were one-off efforts with no monitoring plan attached to the support. These were part of DFID’s process of adapting its approach, based on a more realistic assessment of traction likely to be gained, with a shift to supporting other parts of Government.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b/>
          <w:bCs/>
          <w:lang/>
        </w:rPr>
      </w:pPr>
      <w:r>
        <w:rPr>
          <w:rFonts w:ascii="Arial" w:hAnsi="Arial" w:cs="Arial"/>
          <w:b/>
          <w:bCs/>
          <w:lang/>
        </w:rPr>
        <w:t>Monitoring progress throughout the review period</w:t>
      </w: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 xml:space="preserve">As stated previously, this Annual Review marks the third deliverable of the external review team. The team conducted fieldwork in November 2016, meeting with each component implementing partners, and DFID staff, plus interviews with down stream partners. The list of </w:t>
      </w:r>
      <w:r>
        <w:rPr>
          <w:rFonts w:ascii="Arial" w:hAnsi="Arial" w:cs="Arial"/>
          <w:lang/>
        </w:rPr>
        <w:lastRenderedPageBreak/>
        <w:t xml:space="preserve">partners interviewed is further below. The team met with a far larger number of private sector partners for the 2016 review, as compared to the previous year, in the effort to verify progress and challenges mentioned by the implementing partners. </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To create a manageable sample for the data verification process, the review team selected specific interventions from the MOST programme (3), BIF (1), and MICF (3), then examined all monitoring and evaluation events for each intervention, evaluating data collection methodologies, data treatment, and conclusions drawn from data analysis. In addition to the quality review of documents provided by the three implementing partners, the review team also queried the data reported by the same into the portfolio-level logframe.</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i/>
          <w:iCs/>
          <w:lang/>
        </w:rPr>
      </w:pPr>
      <w:r>
        <w:rPr>
          <w:rFonts w:ascii="Arial" w:hAnsi="Arial" w:cs="Arial"/>
          <w:i/>
          <w:iCs/>
          <w:lang/>
        </w:rPr>
        <w:t>List of down stream partners visited during the AR process, in addition to implementing partners:</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Agriculture Input Supplies Limited (AISL)</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Peacock Seeds</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Multi Seeds Company Ltd (Museco)</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Agricultural Commodity Exchange for Africa (ACE)</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Farmers Organizations Ltd (FOL)</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Fadamz Rice Milling</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Energy Unlimited</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Mulanje Electricity Generating Association (MEGA)</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Sukambizi Association Trust</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Satemwa Tea Estate</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Afrisian Ltd</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Exagris Africa Ltd</w:t>
      </w:r>
    </w:p>
    <w:p w:rsidR="00EC39A4" w:rsidRDefault="00EC39A4" w:rsidP="00EC39A4">
      <w:pPr>
        <w:numPr>
          <w:ilvl w:val="0"/>
          <w:numId w:val="1"/>
        </w:numPr>
        <w:autoSpaceDE w:val="0"/>
        <w:autoSpaceDN w:val="0"/>
        <w:adjustRightInd w:val="0"/>
        <w:spacing w:after="0" w:line="240" w:lineRule="auto"/>
        <w:ind w:left="1440" w:hanging="360"/>
        <w:jc w:val="both"/>
        <w:rPr>
          <w:rFonts w:ascii="Arial" w:hAnsi="Arial" w:cs="Arial"/>
          <w:lang/>
        </w:rPr>
      </w:pPr>
      <w:r>
        <w:rPr>
          <w:rFonts w:ascii="Arial" w:hAnsi="Arial" w:cs="Arial"/>
          <w:lang/>
        </w:rPr>
        <w:t>Malawi Investment and Trade Center</w:t>
      </w:r>
    </w:p>
    <w:p w:rsidR="00EC39A4" w:rsidRDefault="00EC39A4" w:rsidP="00EC39A4">
      <w:pPr>
        <w:autoSpaceDE w:val="0"/>
        <w:autoSpaceDN w:val="0"/>
        <w:adjustRightInd w:val="0"/>
        <w:spacing w:after="0" w:line="240" w:lineRule="auto"/>
        <w:jc w:val="both"/>
        <w:rPr>
          <w:rFonts w:ascii="Calibri" w:hAnsi="Calibri" w:cs="Calibri"/>
          <w:lang/>
        </w:rPr>
      </w:pPr>
    </w:p>
    <w:p w:rsidR="00EC39A4" w:rsidRDefault="00EC39A4" w:rsidP="00EC39A4">
      <w:pPr>
        <w:autoSpaceDE w:val="0"/>
        <w:autoSpaceDN w:val="0"/>
        <w:adjustRightInd w:val="0"/>
        <w:spacing w:after="0" w:line="240" w:lineRule="auto"/>
        <w:jc w:val="both"/>
        <w:rPr>
          <w:rFonts w:ascii="Arial" w:hAnsi="Arial" w:cs="Arial"/>
          <w:lang/>
        </w:rPr>
      </w:pPr>
      <w:r>
        <w:rPr>
          <w:rFonts w:ascii="Arial" w:hAnsi="Arial" w:cs="Arial"/>
          <w:lang/>
        </w:rPr>
        <w:t>Considering that all three implementing partners plan to report substantial beneficiary impact in future annual reports, ensuing reviews should focus data quality assessments on that data.</w:t>
      </w:r>
    </w:p>
    <w:p w:rsidR="001E064A" w:rsidRDefault="001E064A"/>
    <w:sectPr w:rsidR="001E064A" w:rsidSect="003C1D66">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07499A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EC39A4"/>
    <w:rsid w:val="000B2F94"/>
    <w:rsid w:val="001E064A"/>
    <w:rsid w:val="006756C7"/>
    <w:rsid w:val="00A71D3A"/>
    <w:rsid w:val="00B01A6D"/>
    <w:rsid w:val="00D632F6"/>
    <w:rsid w:val="00EC39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vtracker.dfid.gov.uk/projects/GB-1-203824/documents" TargetMode="External"/><Relationship Id="rId5" Type="http://schemas.openxmlformats.org/officeDocument/2006/relationships/hyperlink" Target="https://devtracker.dfid.gov.uk/projects/GB-1-203824/docu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9355</Words>
  <Characters>53327</Characters>
  <Application>Microsoft Office Word</Application>
  <DocSecurity>0</DocSecurity>
  <Lines>444</Lines>
  <Paragraphs>125</Paragraphs>
  <ScaleCrop>false</ScaleCrop>
  <Company>Grizli777</Company>
  <LinksUpToDate>false</LinksUpToDate>
  <CharactersWithSpaces>62557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Kiambe</dc:creator>
  <cp:lastModifiedBy>Kiambe</cp:lastModifiedBy>
  <cp:revision>1</cp:revision>
  <dcterms:created xsi:type="dcterms:W3CDTF">2021-02-04T06:44:00Z</dcterms:created>
  <dcterms:modified xsi:type="dcterms:W3CDTF">2021-02-04T06:45:00Z</dcterms:modified>
</cp:coreProperties>
</file>